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0C6CA" w14:textId="477959D7" w:rsidR="00695579" w:rsidRDefault="00695579" w:rsidP="00695579">
      <w:pPr>
        <w:pStyle w:val="Normal1"/>
        <w:jc w:val="right"/>
        <w:rPr>
          <w:rFonts w:ascii="Georgia" w:hAnsi="Georgia"/>
          <w:i/>
          <w:color w:val="1A1A1A"/>
          <w:lang w:val="ro-RO"/>
        </w:rPr>
      </w:pPr>
      <w:r>
        <w:rPr>
          <w:rFonts w:ascii="Georgia" w:hAnsi="Georgia"/>
          <w:i/>
          <w:color w:val="1A1A1A"/>
          <w:lang w:val="ro-RO"/>
        </w:rPr>
        <w:t>Comunicat de presă</w:t>
      </w:r>
    </w:p>
    <w:p w14:paraId="61F70237" w14:textId="0D1D4911" w:rsidR="00695579" w:rsidRPr="00695579" w:rsidRDefault="005F73AD" w:rsidP="00695579">
      <w:pPr>
        <w:pStyle w:val="Normal1"/>
        <w:jc w:val="right"/>
        <w:rPr>
          <w:rFonts w:ascii="Georgia" w:hAnsi="Georgia"/>
          <w:i/>
          <w:color w:val="1A1A1A"/>
          <w:lang w:val="ro-RO"/>
        </w:rPr>
      </w:pPr>
      <w:r>
        <w:rPr>
          <w:rFonts w:ascii="Georgia" w:hAnsi="Georgia"/>
          <w:i/>
          <w:color w:val="1A1A1A"/>
          <w:lang w:val="ro-RO"/>
        </w:rPr>
        <w:t xml:space="preserve">1 </w:t>
      </w:r>
      <w:r w:rsidR="00695579" w:rsidRPr="00695579">
        <w:rPr>
          <w:rFonts w:ascii="Georgia" w:hAnsi="Georgia"/>
          <w:i/>
          <w:color w:val="1A1A1A"/>
          <w:lang w:val="ro-RO"/>
        </w:rPr>
        <w:t>februarie 2022</w:t>
      </w:r>
    </w:p>
    <w:p w14:paraId="5C1CE453" w14:textId="77777777" w:rsidR="00695579" w:rsidRDefault="00695579" w:rsidP="00695579">
      <w:pPr>
        <w:pStyle w:val="Normal1"/>
        <w:rPr>
          <w:rFonts w:ascii="Georgia" w:hAnsi="Georgia"/>
          <w:b/>
          <w:color w:val="1A1A1A"/>
          <w:lang w:val="ro-RO"/>
        </w:rPr>
      </w:pPr>
    </w:p>
    <w:p w14:paraId="33F4921F" w14:textId="77777777" w:rsidR="00695579" w:rsidRPr="00695579" w:rsidRDefault="00695579" w:rsidP="00695579">
      <w:pPr>
        <w:pStyle w:val="Normal1"/>
        <w:rPr>
          <w:rFonts w:ascii="Georgia" w:hAnsi="Georgia"/>
          <w:b/>
          <w:color w:val="1A1A1A"/>
          <w:sz w:val="32"/>
          <w:szCs w:val="32"/>
          <w:lang w:val="ro-RO"/>
        </w:rPr>
      </w:pPr>
      <w:r w:rsidRPr="00695579">
        <w:rPr>
          <w:rFonts w:ascii="Georgia" w:hAnsi="Georgia"/>
          <w:b/>
          <w:color w:val="1A1A1A"/>
          <w:sz w:val="32"/>
          <w:szCs w:val="32"/>
          <w:lang w:val="ro-RO"/>
        </w:rPr>
        <w:t>Institutul Cultural Român și-a stabilit principalele direcții de activitate pentru perioada 2022-2026</w:t>
      </w:r>
    </w:p>
    <w:p w14:paraId="2A4F3DED" w14:textId="77777777" w:rsidR="00695579" w:rsidRPr="00695579" w:rsidRDefault="00695579" w:rsidP="00695579">
      <w:pPr>
        <w:pStyle w:val="Normal1"/>
        <w:rPr>
          <w:rFonts w:ascii="Georgia" w:hAnsi="Georgia"/>
          <w:color w:val="1A1A1A"/>
          <w:lang w:val="ro-RO"/>
        </w:rPr>
      </w:pPr>
    </w:p>
    <w:p w14:paraId="3D076C1D" w14:textId="74DC01F7" w:rsidR="00695579" w:rsidRPr="00695579" w:rsidRDefault="00695579" w:rsidP="00695579">
      <w:pPr>
        <w:pStyle w:val="Normal1"/>
        <w:jc w:val="both"/>
        <w:rPr>
          <w:rFonts w:ascii="Georgia" w:hAnsi="Georgia"/>
          <w:b/>
          <w:i/>
          <w:color w:val="1A1A1A"/>
          <w:lang w:val="ro-RO"/>
        </w:rPr>
      </w:pPr>
      <w:r w:rsidRPr="00695579">
        <w:rPr>
          <w:rFonts w:ascii="Georgia" w:hAnsi="Georgia"/>
          <w:b/>
          <w:i/>
          <w:color w:val="1A1A1A"/>
          <w:lang w:val="ro-RO"/>
        </w:rPr>
        <w:t xml:space="preserve">Institutul Cultural Român lansează un document programatic, prin care trasează axe pentru dezvoltare și direcții de acțiune pentru perioada 2022-2026, urmărind dezvoltarea instituțională, programarea, inițierea și promovarea culturală și susținerea artiștilor, creatorilor și operatorilor culturali. Prin document se dedică axe specifice de lucru diplomației culturale, limbii și </w:t>
      </w:r>
      <w:r w:rsidRPr="00695579">
        <w:rPr>
          <w:rFonts w:ascii="Georgia" w:hAnsi="Georgia"/>
          <w:b/>
          <w:i/>
          <w:lang w:val="ro-RO"/>
        </w:rPr>
        <w:t>civilizației</w:t>
      </w:r>
      <w:r w:rsidRPr="00695579">
        <w:rPr>
          <w:rFonts w:ascii="Georgia" w:hAnsi="Georgia"/>
          <w:b/>
          <w:i/>
          <w:color w:val="FF0000"/>
          <w:lang w:val="ro-RO"/>
        </w:rPr>
        <w:t xml:space="preserve"> </w:t>
      </w:r>
      <w:r w:rsidRPr="00695579">
        <w:rPr>
          <w:rFonts w:ascii="Georgia" w:hAnsi="Georgia"/>
          <w:b/>
          <w:i/>
          <w:color w:val="1A1A1A"/>
          <w:lang w:val="ro-RO"/>
        </w:rPr>
        <w:t xml:space="preserve">române, multilingvismului și pluriculturalității. </w:t>
      </w:r>
    </w:p>
    <w:p w14:paraId="75F49A73" w14:textId="2D53DF34" w:rsidR="00695579" w:rsidRPr="00695579" w:rsidRDefault="008530B3" w:rsidP="00695579">
      <w:pPr>
        <w:pStyle w:val="Normal1"/>
        <w:shd w:val="clear" w:color="auto" w:fill="FFFFFF"/>
        <w:spacing w:before="240" w:after="240" w:line="240" w:lineRule="auto"/>
        <w:jc w:val="both"/>
        <w:rPr>
          <w:rFonts w:ascii="Georgia" w:hAnsi="Georgia"/>
          <w:color w:val="1A1A1A"/>
          <w:highlight w:val="white"/>
          <w:lang w:val="ro-RO"/>
        </w:rPr>
      </w:pPr>
      <w:hyperlink r:id="rId8" w:history="1">
        <w:r w:rsidR="00695579" w:rsidRPr="00695579">
          <w:rPr>
            <w:rStyle w:val="Hyperlink"/>
            <w:rFonts w:ascii="Georgia" w:hAnsi="Georgia"/>
            <w:i/>
            <w:color w:val="auto"/>
            <w:lang w:val="ro-RO"/>
          </w:rPr>
          <w:t>Consiliul de conducere al ICR</w:t>
        </w:r>
      </w:hyperlink>
      <w:r w:rsidR="00695579" w:rsidRPr="00695579">
        <w:rPr>
          <w:rFonts w:ascii="Georgia" w:hAnsi="Georgia"/>
          <w:b/>
          <w:i/>
          <w:color w:val="1A1A1A"/>
          <w:lang w:val="ro-RO"/>
        </w:rPr>
        <w:t xml:space="preserve"> </w:t>
      </w:r>
      <w:r w:rsidR="00695579" w:rsidRPr="00B60901">
        <w:rPr>
          <w:rFonts w:ascii="Georgia" w:hAnsi="Georgia"/>
          <w:color w:val="1A1A1A"/>
          <w:lang w:val="ro-RO"/>
        </w:rPr>
        <w:t>a adoptat Strategia ICR,</w:t>
      </w:r>
      <w:r w:rsidR="00695579" w:rsidRPr="00695579">
        <w:rPr>
          <w:rFonts w:ascii="Georgia" w:hAnsi="Georgia"/>
          <w:b/>
          <w:i/>
          <w:color w:val="1A1A1A"/>
          <w:lang w:val="ro-RO"/>
        </w:rPr>
        <w:t xml:space="preserve"> </w:t>
      </w:r>
      <w:r w:rsidR="00695579" w:rsidRPr="00695579">
        <w:rPr>
          <w:rFonts w:ascii="Georgia" w:hAnsi="Georgia"/>
          <w:color w:val="1A1A1A"/>
          <w:highlight w:val="white"/>
          <w:lang w:val="ro-RO"/>
        </w:rPr>
        <w:t>care va fi aplicată la nivelul Centralei ICR și în Reprezentanțele ICR din străinătate: Beijing, Berlin, Bruxelles, Budapesta (cu filială la Szeged), Chişinău, Istanbul, Lisabona, Londra, Madrid, New York, Paris, Praga, Roma, Stockholm,Tel Aviv, Varşovia, Veneţia și Viena.</w:t>
      </w:r>
    </w:p>
    <w:p w14:paraId="43D635B3" w14:textId="77777777" w:rsidR="00695579" w:rsidRPr="00B60901" w:rsidRDefault="00695579" w:rsidP="00695579">
      <w:pPr>
        <w:pStyle w:val="Normal1"/>
        <w:shd w:val="clear" w:color="auto" w:fill="FFFFFF"/>
        <w:spacing w:after="240" w:line="240" w:lineRule="auto"/>
        <w:jc w:val="both"/>
        <w:rPr>
          <w:rFonts w:ascii="Georgia" w:hAnsi="Georgia"/>
          <w:lang w:val="ro-RO"/>
        </w:rPr>
      </w:pPr>
      <w:r w:rsidRPr="00695579">
        <w:rPr>
          <w:rFonts w:ascii="Georgia" w:hAnsi="Georgia"/>
          <w:color w:val="1A1A1A"/>
          <w:lang w:val="ro-RO"/>
        </w:rPr>
        <w:t xml:space="preserve">Strategia </w:t>
      </w:r>
      <w:r w:rsidRPr="00B60901">
        <w:rPr>
          <w:rFonts w:ascii="Georgia" w:hAnsi="Georgia"/>
          <w:color w:val="1A1A1A"/>
          <w:lang w:val="ro-RO"/>
        </w:rPr>
        <w:t xml:space="preserve">Institutului Cultural Român 2022-2026 pornește de la două teme transversale și trei obiective structurale, selectate după o analiză a dezvoltării instituției în ultimii 10 ani și a fost realizată în consultare cu membrii Consiliului de conducere al ICR, angajați ICR și echipele institutelor sale din străinătate și profesioniști culturali </w:t>
      </w:r>
      <w:r w:rsidRPr="00B60901">
        <w:rPr>
          <w:rFonts w:ascii="Georgia" w:hAnsi="Georgia"/>
          <w:lang w:val="ro-RO"/>
        </w:rPr>
        <w:t>independenți</w:t>
      </w:r>
      <w:r w:rsidRPr="00B60901">
        <w:rPr>
          <w:rFonts w:ascii="Georgia" w:hAnsi="Georgia"/>
          <w:color w:val="1A1A1A"/>
          <w:lang w:val="ro-RO"/>
        </w:rPr>
        <w:t xml:space="preserve">. De asemenea, documentul strategic încorporează cele mai recente concepte de lucru și politici publice referitoare la domeniul culturii, la sectorul creativ, dar și la congruența la nivelul societății a acestor domenii cu altele, la nivel național, european și internațional. Pentru fundamentare, în cadrul Strategiei au fost analizate, în mod agregat, resurse contemporane pentru conceptualizarea culturii și a rolului său complex, în direcția obiectivelor specifice pe care Institutul Cultural Român le are, ca promotor, susținător, vehicul diplomatic, instrument de valorificare și </w:t>
      </w:r>
      <w:r w:rsidRPr="00B60901">
        <w:rPr>
          <w:rFonts w:ascii="Georgia" w:hAnsi="Georgia"/>
          <w:lang w:val="ro-RO"/>
        </w:rPr>
        <w:t>promovare a culturii autohtone</w:t>
      </w:r>
      <w:r w:rsidRPr="00B60901">
        <w:rPr>
          <w:rFonts w:ascii="Georgia" w:hAnsi="Georgia"/>
          <w:color w:val="1A1A1A"/>
          <w:lang w:val="ro-RO"/>
        </w:rPr>
        <w:t xml:space="preserve">. </w:t>
      </w:r>
    </w:p>
    <w:p w14:paraId="0BD6DAB0" w14:textId="1ACF08A5" w:rsidR="00695579" w:rsidRPr="00B60901" w:rsidRDefault="00695579" w:rsidP="00695579">
      <w:pPr>
        <w:pStyle w:val="Normal1"/>
        <w:shd w:val="clear" w:color="auto" w:fill="FFFFFF"/>
        <w:spacing w:after="240" w:line="240" w:lineRule="auto"/>
        <w:jc w:val="both"/>
        <w:rPr>
          <w:rFonts w:ascii="Georgia" w:hAnsi="Georgia"/>
          <w:color w:val="1A1A1A"/>
          <w:lang w:val="ro-RO"/>
        </w:rPr>
      </w:pPr>
      <w:r w:rsidRPr="00B60901">
        <w:rPr>
          <w:rFonts w:ascii="Georgia" w:hAnsi="Georgia"/>
          <w:color w:val="1A1A1A"/>
          <w:lang w:val="ro-RO"/>
        </w:rPr>
        <w:t>Pentru pregătirea Strategiei ICR 2022-2026 s-au avut în vedere, pe lângă documente programatice ale instituției și resursele legislative, peste 40 de documente strategice, declarații de politică publică, studii, barometre și analize, naționale și internaționale, printre acestea numărându-se: O nouă agendă europeană pentru cultură - Comisia Europeană, Cadrul strategic pentru politica culturală a UE 2019-2024, Plan</w:t>
      </w:r>
      <w:r w:rsidR="002C3E97">
        <w:rPr>
          <w:rFonts w:ascii="Georgia" w:hAnsi="Georgia"/>
          <w:color w:val="1A1A1A"/>
          <w:lang w:val="ro-RO"/>
        </w:rPr>
        <w:t>ul</w:t>
      </w:r>
      <w:r w:rsidRPr="00B60901">
        <w:rPr>
          <w:rFonts w:ascii="Georgia" w:hAnsi="Georgia"/>
          <w:color w:val="1A1A1A"/>
          <w:lang w:val="ro-RO"/>
        </w:rPr>
        <w:t xml:space="preserve"> de lucru </w:t>
      </w:r>
      <w:r w:rsidR="002C3E97">
        <w:rPr>
          <w:rFonts w:ascii="Georgia" w:hAnsi="Georgia"/>
          <w:color w:val="1A1A1A"/>
          <w:lang w:val="ro-RO"/>
        </w:rPr>
        <w:t>în domeniul culturii pentru perioada</w:t>
      </w:r>
      <w:r w:rsidRPr="00B60901">
        <w:rPr>
          <w:rFonts w:ascii="Georgia" w:hAnsi="Georgia"/>
          <w:color w:val="1A1A1A"/>
          <w:lang w:val="ro-RO"/>
        </w:rPr>
        <w:t xml:space="preserve"> 2019-2022 - Comisia Europeană, Dimensiunea culturală a dezvoltării durabile: oportunități pentru institutele culturale naționale - EUNIC Global, Convenția UNESCO din 2005 privind protecția și promovarea diversității expresiilor culturale, Organizația Națiunilor Unite pentru Educație, Știință și Cultură, Str</w:t>
      </w:r>
      <w:r w:rsidR="00640E1C">
        <w:rPr>
          <w:rFonts w:ascii="Georgia" w:hAnsi="Georgia"/>
          <w:color w:val="1A1A1A"/>
          <w:lang w:val="ro-RO"/>
        </w:rPr>
        <w:t>ategia Europeana 2020- 2025</w:t>
      </w:r>
      <w:r w:rsidRPr="00B60901">
        <w:rPr>
          <w:rFonts w:ascii="Georgia" w:hAnsi="Georgia"/>
          <w:color w:val="1A1A1A"/>
          <w:lang w:val="ro-RO"/>
        </w:rPr>
        <w:t>; Strategia privind digitalizarea educației din România 2021-2027, Strategia națională privind promovarea egalității de șanse, Strategia națională de apărare a țării pentru perioada 2020-2024, Programe prioritare de diplomaţie publică şi culturală ale Ministerului Afacerilor Externe, Agenda europeană a Republicii Moldova etc.</w:t>
      </w:r>
    </w:p>
    <w:p w14:paraId="576A522B" w14:textId="390E38D5" w:rsidR="00695579" w:rsidRPr="00695579" w:rsidRDefault="00695579" w:rsidP="0001725F">
      <w:pPr>
        <w:pStyle w:val="Normal1"/>
        <w:shd w:val="clear" w:color="auto" w:fill="FFFFFF"/>
        <w:spacing w:before="240" w:after="240" w:line="240" w:lineRule="auto"/>
        <w:jc w:val="both"/>
        <w:rPr>
          <w:rFonts w:ascii="Georgia" w:hAnsi="Georgia"/>
          <w:color w:val="1A1A1A"/>
          <w:highlight w:val="white"/>
          <w:lang w:val="ro-RO"/>
        </w:rPr>
      </w:pPr>
      <w:r w:rsidRPr="00B60901">
        <w:rPr>
          <w:rFonts w:ascii="Georgia" w:hAnsi="Georgia"/>
          <w:color w:val="1A1A1A"/>
          <w:lang w:val="ro-RO"/>
        </w:rPr>
        <w:t>Analizând misiunea Institutului Cultural Român, programele anuale ale Reprezentanțelor sale din străinătate și poziționările instituționale de-a lungul existenței sale, au fost identificate două teme transversale de lucru ce vor fi aplicate în perioada 2022-2026, respectiv promovarea la nivel internațional a creativității românești, printr-o prezentare accentuată a patrimoniului cultural și a creației contemporane, precum și susținerea proiectelor și programelor creatorilor și operatorilor culturali români și a acțiunilor de diplomație culturală. Pentru Strategia din perioada 2022-2026 au fost prioritizate trei obiective din cele 13 prevăzute în Legea nr. 356 din 11 iulie 2003 privind înfiinţarea, organizarea şi funcţionarea Institutului Cultural Român: c</w:t>
      </w:r>
      <w:r w:rsidRPr="00B60901">
        <w:rPr>
          <w:rFonts w:ascii="Georgia" w:hAnsi="Georgia"/>
          <w:color w:val="1A1A1A"/>
          <w:highlight w:val="white"/>
          <w:lang w:val="ro-RO"/>
        </w:rPr>
        <w:t xml:space="preserve">onceperea de proiecte şi </w:t>
      </w:r>
      <w:r w:rsidRPr="00B60901">
        <w:rPr>
          <w:rFonts w:ascii="Georgia" w:hAnsi="Georgia"/>
          <w:color w:val="1A1A1A"/>
          <w:highlight w:val="white"/>
          <w:lang w:val="ro-RO"/>
        </w:rPr>
        <w:lastRenderedPageBreak/>
        <w:t>dezvoltarea de programe şi schimburi cu caracter cultural, artistic, ştiinţific, educativ, documentar; facilitarea dialogului şi a colaborării; favorizarea deschiderii spre celelalte culturi ale lumii şi a receptării acestora în spaţiul românesc.</w:t>
      </w:r>
    </w:p>
    <w:p w14:paraId="24DF1D08" w14:textId="77777777" w:rsidR="00695579" w:rsidRPr="00695579" w:rsidRDefault="00695579" w:rsidP="00695579">
      <w:pPr>
        <w:pStyle w:val="Normal1"/>
        <w:shd w:val="clear" w:color="auto" w:fill="FFFFFF"/>
        <w:spacing w:after="240" w:line="240" w:lineRule="auto"/>
        <w:rPr>
          <w:rFonts w:ascii="Georgia" w:hAnsi="Georgia"/>
          <w:b/>
          <w:color w:val="1A1A1A"/>
          <w:lang w:val="ro-RO"/>
        </w:rPr>
      </w:pPr>
      <w:r w:rsidRPr="00695579">
        <w:rPr>
          <w:rFonts w:ascii="Georgia" w:hAnsi="Georgia"/>
          <w:b/>
          <w:color w:val="1A1A1A"/>
          <w:lang w:val="ro-RO"/>
        </w:rPr>
        <w:t>Conform strategiei aprobate, axele pentru dezvoltare și direcțiile de acțiune ale strategiei Institutului Cultural Român în perioada 2022-2026 sunt:</w:t>
      </w:r>
    </w:p>
    <w:p w14:paraId="1E69747B" w14:textId="77777777" w:rsidR="00695579" w:rsidRPr="00695579" w:rsidRDefault="00695579" w:rsidP="00695579">
      <w:pPr>
        <w:pStyle w:val="Normal1"/>
        <w:shd w:val="clear" w:color="auto" w:fill="FFFFFF"/>
        <w:spacing w:after="240" w:line="240" w:lineRule="auto"/>
        <w:jc w:val="both"/>
        <w:rPr>
          <w:rFonts w:ascii="Georgia" w:hAnsi="Georgia"/>
          <w:b/>
          <w:color w:val="1A1A1A"/>
        </w:rPr>
      </w:pPr>
      <w:r w:rsidRPr="00695579">
        <w:rPr>
          <w:rFonts w:ascii="Georgia" w:hAnsi="Georgia"/>
          <w:b/>
          <w:color w:val="1A1A1A"/>
          <w:lang w:val="ro-RO"/>
        </w:rPr>
        <w:t xml:space="preserve">Dezvoltarea instituțională printr-un </w:t>
      </w:r>
      <w:r w:rsidRPr="00695579">
        <w:rPr>
          <w:rFonts w:ascii="Georgia" w:hAnsi="Georgia"/>
          <w:color w:val="1A1A1A"/>
          <w:lang w:val="ro-RO"/>
        </w:rPr>
        <w:t>sistem de management performant</w:t>
      </w:r>
      <w:r w:rsidRPr="00695579">
        <w:rPr>
          <w:rFonts w:ascii="Georgia" w:hAnsi="Georgia"/>
          <w:b/>
          <w:color w:val="1A1A1A"/>
          <w:lang w:val="ro-RO"/>
        </w:rPr>
        <w:t xml:space="preserve">, </w:t>
      </w:r>
      <w:r w:rsidRPr="00695579">
        <w:rPr>
          <w:rFonts w:ascii="Georgia" w:hAnsi="Georgia"/>
          <w:color w:val="1A1A1A"/>
          <w:lang w:val="ro-RO"/>
        </w:rPr>
        <w:t>resurse umane competente</w:t>
      </w:r>
      <w:r w:rsidRPr="00695579">
        <w:rPr>
          <w:rFonts w:ascii="Georgia" w:hAnsi="Georgia"/>
          <w:b/>
          <w:color w:val="1A1A1A"/>
          <w:lang w:val="ro-RO"/>
        </w:rPr>
        <w:t xml:space="preserve"> </w:t>
      </w:r>
      <w:r w:rsidRPr="00695579">
        <w:rPr>
          <w:rFonts w:ascii="Georgia" w:hAnsi="Georgia"/>
          <w:color w:val="1A1A1A"/>
          <w:lang w:val="ro-RO"/>
        </w:rPr>
        <w:t>și promovarea brandului ICR</w:t>
      </w:r>
      <w:r w:rsidRPr="00695579">
        <w:rPr>
          <w:rFonts w:ascii="Georgia" w:hAnsi="Georgia"/>
          <w:color w:val="1A1A1A"/>
        </w:rPr>
        <w:t>;</w:t>
      </w:r>
    </w:p>
    <w:p w14:paraId="4EA64B7B" w14:textId="77777777" w:rsidR="00695579" w:rsidRPr="00695579" w:rsidRDefault="00695579" w:rsidP="00695579">
      <w:pPr>
        <w:pStyle w:val="Normal1"/>
        <w:shd w:val="clear" w:color="auto" w:fill="FFFFFF"/>
        <w:spacing w:after="240" w:line="240" w:lineRule="auto"/>
        <w:jc w:val="both"/>
        <w:rPr>
          <w:rFonts w:ascii="Georgia" w:hAnsi="Georgia"/>
          <w:b/>
          <w:color w:val="1A1A1A"/>
          <w:lang w:val="ro-RO"/>
        </w:rPr>
      </w:pPr>
      <w:r w:rsidRPr="00695579">
        <w:rPr>
          <w:rFonts w:ascii="Georgia" w:hAnsi="Georgia"/>
          <w:b/>
          <w:color w:val="1A1A1A"/>
          <w:lang w:val="ro-RO"/>
        </w:rPr>
        <w:t xml:space="preserve">Programare și inițiativă culturală prin </w:t>
      </w:r>
      <w:r w:rsidRPr="00695579">
        <w:rPr>
          <w:rFonts w:ascii="Georgia" w:hAnsi="Georgia"/>
          <w:color w:val="1A1A1A"/>
          <w:lang w:val="ro-RO"/>
        </w:rPr>
        <w:t>cultura contemporană, cultura ca abordare multidisciplinară și ca integrator;</w:t>
      </w:r>
    </w:p>
    <w:p w14:paraId="5CAA7B62" w14:textId="77777777" w:rsidR="00695579" w:rsidRPr="00695579" w:rsidRDefault="00695579" w:rsidP="00695579">
      <w:pPr>
        <w:pStyle w:val="Normal1"/>
        <w:shd w:val="clear" w:color="auto" w:fill="FFFFFF"/>
        <w:spacing w:after="240" w:line="240" w:lineRule="auto"/>
        <w:jc w:val="both"/>
        <w:rPr>
          <w:rFonts w:ascii="Georgia" w:hAnsi="Georgia"/>
          <w:b/>
          <w:color w:val="1A1A1A"/>
        </w:rPr>
      </w:pPr>
      <w:r w:rsidRPr="00695579">
        <w:rPr>
          <w:rFonts w:ascii="Georgia" w:hAnsi="Georgia"/>
          <w:b/>
          <w:color w:val="1A1A1A"/>
          <w:lang w:val="ro-RO"/>
        </w:rPr>
        <w:t xml:space="preserve">Susținere culturală prin </w:t>
      </w:r>
      <w:r w:rsidRPr="00695579">
        <w:rPr>
          <w:rFonts w:ascii="Georgia" w:hAnsi="Georgia"/>
          <w:color w:val="1A1A1A"/>
          <w:lang w:val="ro-RO"/>
        </w:rPr>
        <w:t>programe de finanțare a proiectelor operatorilor culturali</w:t>
      </w:r>
      <w:r w:rsidRPr="00CD3B8C">
        <w:rPr>
          <w:rFonts w:ascii="Georgia" w:hAnsi="Georgia"/>
          <w:color w:val="1A1A1A"/>
          <w:lang w:val="ro-RO"/>
        </w:rPr>
        <w:t>, programe</w:t>
      </w:r>
      <w:r w:rsidRPr="00695579">
        <w:rPr>
          <w:rFonts w:ascii="Georgia" w:hAnsi="Georgia"/>
          <w:color w:val="1A1A1A"/>
          <w:lang w:val="ro-RO"/>
        </w:rPr>
        <w:t xml:space="preserve"> editoriale</w:t>
      </w:r>
      <w:r w:rsidRPr="00695579">
        <w:rPr>
          <w:rFonts w:ascii="Georgia" w:hAnsi="Georgia"/>
          <w:b/>
          <w:color w:val="1A1A1A"/>
          <w:lang w:val="ro-RO"/>
        </w:rPr>
        <w:t xml:space="preserve">, </w:t>
      </w:r>
      <w:r w:rsidRPr="00695579">
        <w:rPr>
          <w:rFonts w:ascii="Georgia" w:hAnsi="Georgia"/>
          <w:color w:val="1A1A1A"/>
          <w:lang w:val="ro-RO"/>
        </w:rPr>
        <w:t>susținere pentru artiști, creatori, cercetători români și parteneriat pentru proiecte în țară</w:t>
      </w:r>
      <w:r w:rsidRPr="00695579">
        <w:rPr>
          <w:rFonts w:ascii="Georgia" w:hAnsi="Georgia"/>
          <w:color w:val="1A1A1A"/>
        </w:rPr>
        <w:t>;</w:t>
      </w:r>
    </w:p>
    <w:p w14:paraId="134C464E" w14:textId="77777777" w:rsidR="00695579" w:rsidRPr="00695579" w:rsidRDefault="00695579" w:rsidP="00695579">
      <w:pPr>
        <w:pStyle w:val="Normal1"/>
        <w:shd w:val="clear" w:color="auto" w:fill="FFFFFF"/>
        <w:spacing w:after="240" w:line="240" w:lineRule="auto"/>
        <w:jc w:val="both"/>
        <w:rPr>
          <w:rFonts w:ascii="Georgia" w:hAnsi="Georgia"/>
          <w:b/>
          <w:color w:val="1A1A1A"/>
          <w:lang w:val="ro-RO"/>
        </w:rPr>
      </w:pPr>
      <w:r w:rsidRPr="00695579">
        <w:rPr>
          <w:rFonts w:ascii="Georgia" w:hAnsi="Georgia"/>
          <w:b/>
          <w:color w:val="1A1A1A"/>
          <w:lang w:val="ro-RO"/>
        </w:rPr>
        <w:t xml:space="preserve">Limba română, multilingvism și pluriculturalitate prin promovarea ICR </w:t>
      </w:r>
      <w:r w:rsidRPr="00695579">
        <w:rPr>
          <w:rFonts w:ascii="Georgia" w:hAnsi="Georgia"/>
          <w:color w:val="1A1A1A"/>
          <w:lang w:val="ro-RO"/>
        </w:rPr>
        <w:t>ca liant cultural</w:t>
      </w:r>
      <w:r w:rsidRPr="00695579">
        <w:rPr>
          <w:rFonts w:ascii="Georgia" w:hAnsi="Georgia"/>
          <w:b/>
          <w:color w:val="1A1A1A"/>
          <w:lang w:val="ro-RO"/>
        </w:rPr>
        <w:t xml:space="preserve"> </w:t>
      </w:r>
      <w:r w:rsidRPr="00B60901">
        <w:rPr>
          <w:rFonts w:ascii="Georgia" w:hAnsi="Georgia"/>
          <w:color w:val="1A1A1A"/>
          <w:lang w:val="ro-RO"/>
        </w:rPr>
        <w:t xml:space="preserve">și </w:t>
      </w:r>
      <w:r w:rsidRPr="00695579">
        <w:rPr>
          <w:rFonts w:ascii="Georgia" w:hAnsi="Georgia"/>
          <w:color w:val="1A1A1A"/>
          <w:lang w:val="ro-RO"/>
        </w:rPr>
        <w:t>catalizator al dezvoltării comunitare în comunităţile istorice şi diaspora;</w:t>
      </w:r>
    </w:p>
    <w:p w14:paraId="09C60DDF" w14:textId="14511354" w:rsidR="0001725F" w:rsidRPr="00044F7A" w:rsidRDefault="00695579" w:rsidP="00044F7A">
      <w:pPr>
        <w:pStyle w:val="Normal1"/>
        <w:shd w:val="clear" w:color="auto" w:fill="FFFFFF"/>
        <w:spacing w:after="240" w:line="240" w:lineRule="auto"/>
        <w:jc w:val="both"/>
        <w:rPr>
          <w:rFonts w:ascii="Georgia" w:hAnsi="Georgia"/>
          <w:b/>
          <w:color w:val="1A1A1A"/>
          <w:lang w:val="ro-RO"/>
        </w:rPr>
      </w:pPr>
      <w:r w:rsidRPr="00695579">
        <w:rPr>
          <w:rFonts w:ascii="Georgia" w:hAnsi="Georgia"/>
          <w:b/>
          <w:color w:val="1A1A1A"/>
          <w:lang w:val="ro-RO"/>
        </w:rPr>
        <w:t xml:space="preserve">Diplomație culturală prin intermediul ICR care își desfăsoară activitatea </w:t>
      </w:r>
      <w:r w:rsidRPr="00695579">
        <w:rPr>
          <w:rFonts w:ascii="Georgia" w:hAnsi="Georgia"/>
          <w:color w:val="1A1A1A"/>
          <w:lang w:val="ro-RO"/>
        </w:rPr>
        <w:t xml:space="preserve">ca un liant și dezvoltă relații bilaterale și de cooperare în domeniul cultural prin intermediul filialelor sale. </w:t>
      </w:r>
    </w:p>
    <w:p w14:paraId="0C5F8FC8" w14:textId="77777777" w:rsidR="00E05B66" w:rsidRDefault="00E05B66" w:rsidP="00695579">
      <w:pPr>
        <w:pStyle w:val="Normal1"/>
        <w:spacing w:line="240" w:lineRule="auto"/>
        <w:rPr>
          <w:rFonts w:ascii="Georgia" w:hAnsi="Georgia"/>
          <w:i/>
          <w:color w:val="1A1A1A"/>
          <w:lang w:val="ro-RO"/>
        </w:rPr>
      </w:pPr>
    </w:p>
    <w:p w14:paraId="35253CF5" w14:textId="5FAA5251" w:rsidR="00695579" w:rsidRPr="0001725F" w:rsidRDefault="00695579" w:rsidP="00695579">
      <w:pPr>
        <w:pStyle w:val="Normal1"/>
        <w:spacing w:line="240" w:lineRule="auto"/>
        <w:rPr>
          <w:rFonts w:ascii="Georgia" w:hAnsi="Georgia"/>
          <w:b/>
          <w:i/>
          <w:lang w:val="ro-RO"/>
        </w:rPr>
      </w:pPr>
      <w:r w:rsidRPr="0001725F">
        <w:rPr>
          <w:rFonts w:ascii="Georgia" w:hAnsi="Georgia"/>
          <w:b/>
          <w:i/>
          <w:lang w:val="ro-RO"/>
        </w:rPr>
        <w:t xml:space="preserve">Documentul integral al Strategiei ICR 2022-2026 poate fi consultat </w:t>
      </w:r>
      <w:hyperlink r:id="rId9" w:history="1">
        <w:r w:rsidRPr="0001725F">
          <w:rPr>
            <w:rStyle w:val="Hyperlink"/>
            <w:rFonts w:ascii="Georgia" w:hAnsi="Georgia"/>
            <w:b/>
            <w:i/>
            <w:color w:val="auto"/>
            <w:lang w:val="ro-RO"/>
          </w:rPr>
          <w:t>aici</w:t>
        </w:r>
      </w:hyperlink>
      <w:r w:rsidR="00AE2FF8">
        <w:rPr>
          <w:rFonts w:ascii="Georgia" w:hAnsi="Georgia"/>
          <w:b/>
          <w:i/>
          <w:lang w:val="ro-RO"/>
        </w:rPr>
        <w:t>.</w:t>
      </w:r>
    </w:p>
    <w:p w14:paraId="7B6AF589" w14:textId="01F33A55" w:rsidR="00E05B66" w:rsidRPr="0001725F" w:rsidRDefault="00695579" w:rsidP="00695579">
      <w:pPr>
        <w:pStyle w:val="Normal1"/>
        <w:spacing w:line="240" w:lineRule="auto"/>
        <w:rPr>
          <w:rFonts w:ascii="Georgia" w:hAnsi="Georgia"/>
          <w:b/>
          <w:i/>
          <w:lang w:val="ro-RO"/>
        </w:rPr>
      </w:pPr>
      <w:r w:rsidRPr="0001725F">
        <w:rPr>
          <w:rFonts w:ascii="Georgia" w:hAnsi="Georgia"/>
          <w:b/>
          <w:i/>
          <w:lang w:val="ro-RO"/>
        </w:rPr>
        <w:t>Alte detalii pot fi obținute la:</w:t>
      </w:r>
      <w:r w:rsidRPr="0001725F">
        <w:rPr>
          <w:rFonts w:ascii="Georgia" w:hAnsi="Georgia"/>
          <w:b/>
          <w:lang w:val="ro-RO"/>
        </w:rPr>
        <w:t xml:space="preserve"> </w:t>
      </w:r>
      <w:r w:rsidRPr="0001725F">
        <w:rPr>
          <w:rFonts w:ascii="Georgia" w:hAnsi="Georgia"/>
          <w:b/>
          <w:i/>
          <w:iCs/>
          <w:lang w:val="ro-RO"/>
        </w:rPr>
        <w:t>strategie@icr.ro</w:t>
      </w:r>
      <w:r w:rsidRPr="0001725F">
        <w:rPr>
          <w:rFonts w:ascii="Georgia" w:hAnsi="Georgia"/>
          <w:b/>
          <w:i/>
          <w:lang w:val="ro-RO"/>
        </w:rPr>
        <w:t xml:space="preserve"> </w:t>
      </w:r>
    </w:p>
    <w:p w14:paraId="75CE92FF" w14:textId="77777777" w:rsidR="00E05B66" w:rsidRDefault="00E05B66" w:rsidP="00695579">
      <w:pPr>
        <w:pStyle w:val="Normal1"/>
        <w:spacing w:line="240" w:lineRule="auto"/>
        <w:rPr>
          <w:rFonts w:ascii="Georgia" w:hAnsi="Georgia"/>
          <w:i/>
          <w:color w:val="1A1A1A"/>
          <w:lang w:val="ro-RO"/>
        </w:rPr>
      </w:pPr>
    </w:p>
    <w:p w14:paraId="5B4FFF30" w14:textId="77777777" w:rsidR="000449CC" w:rsidRDefault="000449CC" w:rsidP="00695579">
      <w:pPr>
        <w:pStyle w:val="Normal1"/>
        <w:spacing w:line="240" w:lineRule="auto"/>
        <w:rPr>
          <w:rFonts w:ascii="Georgia" w:hAnsi="Georgia"/>
          <w:i/>
          <w:color w:val="1A1A1A"/>
          <w:lang w:val="ro-RO"/>
        </w:rPr>
      </w:pPr>
    </w:p>
    <w:p w14:paraId="26FDB4CC" w14:textId="77777777" w:rsidR="000449CC" w:rsidRDefault="000449CC" w:rsidP="00695579">
      <w:pPr>
        <w:pStyle w:val="Normal1"/>
        <w:spacing w:line="240" w:lineRule="auto"/>
        <w:rPr>
          <w:rFonts w:ascii="Georgia" w:hAnsi="Georgia"/>
          <w:i/>
          <w:color w:val="1A1A1A"/>
          <w:lang w:val="ro-RO"/>
        </w:rPr>
      </w:pPr>
    </w:p>
    <w:p w14:paraId="6E0DC036" w14:textId="77777777" w:rsidR="000449CC" w:rsidRDefault="000449CC" w:rsidP="00695579">
      <w:pPr>
        <w:pStyle w:val="Normal1"/>
        <w:spacing w:line="240" w:lineRule="auto"/>
        <w:rPr>
          <w:rFonts w:ascii="Georgia" w:hAnsi="Georgia"/>
          <w:i/>
          <w:color w:val="1A1A1A"/>
          <w:lang w:val="ro-RO"/>
        </w:rPr>
      </w:pPr>
    </w:p>
    <w:p w14:paraId="2093CA1C" w14:textId="77777777" w:rsidR="000449CC" w:rsidRDefault="000449CC" w:rsidP="00695579">
      <w:pPr>
        <w:pStyle w:val="Normal1"/>
        <w:spacing w:line="240" w:lineRule="auto"/>
        <w:rPr>
          <w:rFonts w:ascii="Georgia" w:hAnsi="Georgia"/>
          <w:i/>
          <w:color w:val="1A1A1A"/>
          <w:lang w:val="ro-RO"/>
        </w:rPr>
      </w:pPr>
    </w:p>
    <w:p w14:paraId="58352D98" w14:textId="77777777" w:rsidR="000449CC" w:rsidRDefault="000449CC" w:rsidP="00695579">
      <w:pPr>
        <w:pStyle w:val="Normal1"/>
        <w:spacing w:line="240" w:lineRule="auto"/>
        <w:rPr>
          <w:rFonts w:ascii="Georgia" w:hAnsi="Georgia"/>
          <w:i/>
          <w:color w:val="1A1A1A"/>
          <w:lang w:val="ro-RO"/>
        </w:rPr>
      </w:pPr>
    </w:p>
    <w:p w14:paraId="0B230A9F" w14:textId="77777777" w:rsidR="000449CC" w:rsidRDefault="000449CC" w:rsidP="00695579">
      <w:pPr>
        <w:pStyle w:val="Normal1"/>
        <w:spacing w:line="240" w:lineRule="auto"/>
        <w:rPr>
          <w:rFonts w:ascii="Georgia" w:hAnsi="Georgia"/>
          <w:i/>
          <w:color w:val="1A1A1A"/>
          <w:lang w:val="ro-RO"/>
        </w:rPr>
      </w:pPr>
    </w:p>
    <w:p w14:paraId="5A5B268A" w14:textId="77777777" w:rsidR="000449CC" w:rsidRDefault="000449CC" w:rsidP="00695579">
      <w:pPr>
        <w:pStyle w:val="Normal1"/>
        <w:spacing w:line="240" w:lineRule="auto"/>
        <w:rPr>
          <w:rFonts w:ascii="Georgia" w:hAnsi="Georgia"/>
          <w:i/>
          <w:color w:val="1A1A1A"/>
          <w:lang w:val="ro-RO"/>
        </w:rPr>
      </w:pPr>
    </w:p>
    <w:p w14:paraId="75E25F7C" w14:textId="77777777" w:rsidR="000449CC" w:rsidRDefault="000449CC" w:rsidP="00695579">
      <w:pPr>
        <w:pStyle w:val="Normal1"/>
        <w:spacing w:line="240" w:lineRule="auto"/>
        <w:rPr>
          <w:rFonts w:ascii="Georgia" w:hAnsi="Georgia"/>
          <w:i/>
          <w:color w:val="1A1A1A"/>
          <w:lang w:val="ro-RO"/>
        </w:rPr>
      </w:pPr>
    </w:p>
    <w:p w14:paraId="5B9758C4" w14:textId="77777777" w:rsidR="000449CC" w:rsidRDefault="000449CC" w:rsidP="00695579">
      <w:pPr>
        <w:pStyle w:val="Normal1"/>
        <w:spacing w:line="240" w:lineRule="auto"/>
        <w:rPr>
          <w:rFonts w:ascii="Georgia" w:hAnsi="Georgia"/>
          <w:i/>
          <w:color w:val="1A1A1A"/>
          <w:lang w:val="ro-RO"/>
        </w:rPr>
      </w:pPr>
    </w:p>
    <w:p w14:paraId="515A7CE8" w14:textId="77777777" w:rsidR="00E05B66" w:rsidRDefault="00E05B66" w:rsidP="00695579">
      <w:pPr>
        <w:pStyle w:val="Normal1"/>
        <w:spacing w:line="240" w:lineRule="auto"/>
        <w:rPr>
          <w:rFonts w:ascii="Georgia" w:hAnsi="Georgia"/>
          <w:i/>
          <w:color w:val="1A1A1A"/>
          <w:lang w:val="ro-RO"/>
        </w:rPr>
      </w:pPr>
    </w:p>
    <w:p w14:paraId="1CE5A640" w14:textId="73943264" w:rsidR="00E05B66" w:rsidRDefault="00E05B66" w:rsidP="00695579">
      <w:pPr>
        <w:pStyle w:val="Normal1"/>
        <w:spacing w:line="240" w:lineRule="auto"/>
        <w:rPr>
          <w:rFonts w:ascii="Georgia" w:hAnsi="Georgia"/>
          <w:i/>
          <w:color w:val="1A1A1A"/>
          <w:lang w:val="ro-RO"/>
        </w:rPr>
      </w:pPr>
      <w:r>
        <w:rPr>
          <w:rFonts w:ascii="Georgia" w:hAnsi="Georgia"/>
          <w:i/>
          <w:color w:val="1A1A1A"/>
          <w:lang w:val="ro-RO"/>
        </w:rPr>
        <w:t>***</w:t>
      </w:r>
    </w:p>
    <w:p w14:paraId="3127A4A4" w14:textId="2E914156" w:rsidR="00E05B66" w:rsidRDefault="00044F7A" w:rsidP="00044F7A">
      <w:pPr>
        <w:pStyle w:val="Normal1"/>
        <w:spacing w:line="240" w:lineRule="auto"/>
        <w:jc w:val="both"/>
        <w:rPr>
          <w:rFonts w:ascii="Georgia" w:hAnsi="Georgia"/>
          <w:color w:val="1A1A1A"/>
          <w:lang w:val="ro-RO"/>
        </w:rPr>
      </w:pPr>
      <w:r w:rsidRPr="00E05B66">
        <w:rPr>
          <w:rFonts w:ascii="Georgia" w:hAnsi="Georgia"/>
          <w:color w:val="1A1A1A"/>
          <w:lang w:val="ro-RO"/>
        </w:rPr>
        <w:t>Viziunea ICR pentru 2022-2026 propune dezvoltarea și promovarea unui concept integrat privind cultura română, prin abordarea pluri- și transdisciplinară a creativității și prin aprofundarea înțelegerii asupra diversității ecosistemelor societăților contemporane.</w:t>
      </w:r>
    </w:p>
    <w:p w14:paraId="15845151" w14:textId="77777777" w:rsidR="00044F7A" w:rsidRPr="00044F7A" w:rsidRDefault="00044F7A" w:rsidP="00044F7A">
      <w:pPr>
        <w:pStyle w:val="Normal1"/>
        <w:spacing w:line="240" w:lineRule="auto"/>
        <w:jc w:val="both"/>
        <w:rPr>
          <w:rFonts w:ascii="Georgia" w:hAnsi="Georgia"/>
          <w:color w:val="1A1A1A"/>
          <w:lang w:val="ro-RO"/>
        </w:rPr>
      </w:pPr>
    </w:p>
    <w:p w14:paraId="0559170F" w14:textId="3B094231" w:rsidR="00B60901" w:rsidRDefault="008530B3" w:rsidP="00695579">
      <w:pPr>
        <w:pStyle w:val="Normal1"/>
        <w:shd w:val="clear" w:color="auto" w:fill="FFFFFF"/>
        <w:spacing w:after="240" w:line="240" w:lineRule="auto"/>
        <w:jc w:val="both"/>
        <w:rPr>
          <w:rFonts w:ascii="Georgia" w:hAnsi="Georgia"/>
          <w:i/>
          <w:color w:val="1A1A1A"/>
          <w:sz w:val="18"/>
          <w:szCs w:val="18"/>
          <w:lang w:val="ro-RO"/>
        </w:rPr>
      </w:pPr>
      <w:hyperlink r:id="rId10">
        <w:r w:rsidR="00695579" w:rsidRPr="00E05B66">
          <w:rPr>
            <w:rFonts w:ascii="Georgia" w:hAnsi="Georgia"/>
            <w:i/>
            <w:color w:val="1A1A1A"/>
            <w:sz w:val="18"/>
            <w:szCs w:val="18"/>
            <w:u w:val="single"/>
            <w:lang w:val="ro-RO"/>
          </w:rPr>
          <w:t>www.icr.ro</w:t>
        </w:r>
      </w:hyperlink>
      <w:r w:rsidR="00695579" w:rsidRPr="00E05B66">
        <w:rPr>
          <w:rFonts w:ascii="Georgia" w:hAnsi="Georgia"/>
          <w:i/>
          <w:color w:val="1A1A1A"/>
          <w:sz w:val="18"/>
          <w:szCs w:val="18"/>
          <w:u w:val="single"/>
          <w:lang w:val="ro-RO"/>
        </w:rPr>
        <w:t xml:space="preserve"> </w:t>
      </w:r>
      <w:r w:rsidR="00695579" w:rsidRPr="00E05B66">
        <w:rPr>
          <w:rFonts w:ascii="Georgia" w:hAnsi="Georgia"/>
          <w:i/>
          <w:color w:val="1A1A1A"/>
          <w:sz w:val="18"/>
          <w:szCs w:val="18"/>
          <w:lang w:val="ro-RO"/>
        </w:rPr>
        <w:t xml:space="preserve"> </w:t>
      </w:r>
      <w:hyperlink r:id="rId11" w:history="1">
        <w:r w:rsidR="00C724B9" w:rsidRPr="00AB03F8">
          <w:rPr>
            <w:rStyle w:val="Hyperlink"/>
            <w:rFonts w:ascii="Georgia" w:hAnsi="Georgia"/>
            <w:i/>
            <w:sz w:val="18"/>
            <w:szCs w:val="18"/>
            <w:lang w:val="ro-RO"/>
          </w:rPr>
          <w:t>https://www.icr.ro/pagini/institutul-cultural-roman-si-a-stabilit-principalele-directii-de-activitate-pentru-perioada-2022-2026</w:t>
        </w:r>
      </w:hyperlink>
      <w:r w:rsidR="00C724B9">
        <w:rPr>
          <w:rFonts w:ascii="Georgia" w:hAnsi="Georgia"/>
          <w:i/>
          <w:color w:val="1A1A1A"/>
          <w:sz w:val="18"/>
          <w:szCs w:val="18"/>
          <w:lang w:val="ro-RO"/>
        </w:rPr>
        <w:t xml:space="preserve"> </w:t>
      </w:r>
      <w:bookmarkStart w:id="0" w:name="_GoBack"/>
      <w:bookmarkEnd w:id="0"/>
    </w:p>
    <w:p w14:paraId="4341E8EE" w14:textId="77777777" w:rsidR="00E05B66" w:rsidRPr="00E05B66" w:rsidRDefault="00E05B66" w:rsidP="00695579">
      <w:pPr>
        <w:pStyle w:val="Normal1"/>
        <w:shd w:val="clear" w:color="auto" w:fill="FFFFFF"/>
        <w:spacing w:after="240" w:line="240" w:lineRule="auto"/>
        <w:jc w:val="both"/>
        <w:rPr>
          <w:rFonts w:ascii="Georgia" w:hAnsi="Georgia"/>
          <w:i/>
          <w:color w:val="1A1A1A"/>
          <w:sz w:val="18"/>
          <w:szCs w:val="18"/>
          <w:lang w:val="ro-RO"/>
        </w:rPr>
      </w:pPr>
    </w:p>
    <w:p w14:paraId="6E0D8B39" w14:textId="34B86A91" w:rsidR="00432F43" w:rsidRPr="00B60901" w:rsidRDefault="00B60901" w:rsidP="00B60901">
      <w:pPr>
        <w:pStyle w:val="Normal1"/>
        <w:shd w:val="clear" w:color="auto" w:fill="FFFFFF"/>
        <w:spacing w:after="240" w:line="240" w:lineRule="auto"/>
        <w:jc w:val="both"/>
        <w:rPr>
          <w:rFonts w:ascii="Georgia" w:hAnsi="Georgia"/>
          <w:i/>
          <w:color w:val="1A1A1A"/>
          <w:highlight w:val="yellow"/>
          <w:lang w:val="ro-RO"/>
        </w:rPr>
      </w:pPr>
      <w:r>
        <w:rPr>
          <w:rFonts w:ascii="Georgia" w:hAnsi="Georgia"/>
          <w:i/>
          <w:color w:val="1A1A1A"/>
          <w:lang w:val="ro-RO"/>
        </w:rPr>
        <w:t xml:space="preserve">                          </w:t>
      </w:r>
      <w:r w:rsidR="000449CC">
        <w:rPr>
          <w:rFonts w:ascii="Georgia" w:hAnsi="Georgia"/>
          <w:i/>
          <w:color w:val="1A1A1A"/>
          <w:lang w:val="ro-RO"/>
        </w:rPr>
        <w:t xml:space="preserve">                            </w:t>
      </w:r>
    </w:p>
    <w:sectPr w:rsidR="00432F43" w:rsidRPr="00B60901" w:rsidSect="009B29FD">
      <w:headerReference w:type="default" r:id="rId12"/>
      <w:footerReference w:type="default" r:id="rId13"/>
      <w:pgSz w:w="11907" w:h="16839" w:code="9"/>
      <w:pgMar w:top="2410" w:right="1008" w:bottom="1008" w:left="1276"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A2212" w14:textId="77777777" w:rsidR="008530B3" w:rsidRDefault="008530B3" w:rsidP="00B155FB">
      <w:pPr>
        <w:spacing w:after="0" w:line="240" w:lineRule="auto"/>
      </w:pPr>
      <w:r>
        <w:separator/>
      </w:r>
    </w:p>
  </w:endnote>
  <w:endnote w:type="continuationSeparator" w:id="0">
    <w:p w14:paraId="7EFB498F" w14:textId="77777777" w:rsidR="008530B3" w:rsidRDefault="008530B3" w:rsidP="00B15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auto"/>
    <w:pitch w:val="variable"/>
    <w:sig w:usb0="A00002EF" w:usb1="4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419485"/>
      <w:docPartObj>
        <w:docPartGallery w:val="Page Numbers (Bottom of Page)"/>
        <w:docPartUnique/>
      </w:docPartObj>
    </w:sdtPr>
    <w:sdtEndPr/>
    <w:sdtContent>
      <w:sdt>
        <w:sdtPr>
          <w:id w:val="-1664311234"/>
          <w:docPartObj>
            <w:docPartGallery w:val="Page Numbers (Top of Page)"/>
            <w:docPartUnique/>
          </w:docPartObj>
        </w:sdtPr>
        <w:sdtEndPr/>
        <w:sdtContent>
          <w:p w14:paraId="256434F3" w14:textId="77777777" w:rsidR="00E05B66" w:rsidRDefault="00E05B66">
            <w:pPr>
              <w:pStyle w:val="Footer"/>
              <w:jc w:val="right"/>
            </w:pPr>
            <w:r>
              <w:t xml:space="preserve">Pag. </w:t>
            </w:r>
            <w:r>
              <w:rPr>
                <w:b/>
                <w:sz w:val="24"/>
                <w:szCs w:val="24"/>
              </w:rPr>
              <w:fldChar w:fldCharType="begin"/>
            </w:r>
            <w:r>
              <w:rPr>
                <w:b/>
              </w:rPr>
              <w:instrText xml:space="preserve"> PAGE </w:instrText>
            </w:r>
            <w:r>
              <w:rPr>
                <w:b/>
                <w:sz w:val="24"/>
                <w:szCs w:val="24"/>
              </w:rPr>
              <w:fldChar w:fldCharType="separate"/>
            </w:r>
            <w:r w:rsidR="00C724B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724B9">
              <w:rPr>
                <w:b/>
                <w:noProof/>
              </w:rPr>
              <w:t>2</w:t>
            </w:r>
            <w:r>
              <w:rPr>
                <w:b/>
                <w:sz w:val="24"/>
                <w:szCs w:val="24"/>
              </w:rPr>
              <w:fldChar w:fldCharType="end"/>
            </w:r>
          </w:p>
        </w:sdtContent>
      </w:sdt>
    </w:sdtContent>
  </w:sdt>
  <w:p w14:paraId="10501084" w14:textId="77777777" w:rsidR="00E05B66" w:rsidRDefault="00E05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7F472" w14:textId="77777777" w:rsidR="008530B3" w:rsidRDefault="008530B3" w:rsidP="00B155FB">
      <w:pPr>
        <w:spacing w:after="0" w:line="240" w:lineRule="auto"/>
      </w:pPr>
      <w:r>
        <w:separator/>
      </w:r>
    </w:p>
  </w:footnote>
  <w:footnote w:type="continuationSeparator" w:id="0">
    <w:p w14:paraId="7D0894FE" w14:textId="77777777" w:rsidR="008530B3" w:rsidRDefault="008530B3" w:rsidP="00B15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D8B16" w14:textId="2C2943E6" w:rsidR="00E05B66" w:rsidRPr="00B155FB" w:rsidRDefault="00E05B66" w:rsidP="00B155FB">
    <w:pPr>
      <w:pStyle w:val="Header"/>
    </w:pPr>
    <w:r>
      <w:rPr>
        <w:noProof/>
      </w:rPr>
      <w:drawing>
        <wp:inline distT="0" distB="0" distL="0" distR="0" wp14:anchorId="2E094F1E" wp14:editId="4C4C74CA">
          <wp:extent cx="6113145" cy="821055"/>
          <wp:effectExtent l="0" t="0" r="8255" b="0"/>
          <wp:docPr id="3" name="Picture 3" descr="SAINT MACHINE:Users:saintmachine:Desktop:research ICR:vizual:day 1:new-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NT MACHINE:Users:saintmachine:Desktop:research ICR:vizual:day 1:new-sig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145" cy="8210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7C0A"/>
    <w:multiLevelType w:val="hybridMultilevel"/>
    <w:tmpl w:val="899EE8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B222E"/>
    <w:multiLevelType w:val="hybridMultilevel"/>
    <w:tmpl w:val="0524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3">
    <w:nsid w:val="18E368F7"/>
    <w:multiLevelType w:val="hybridMultilevel"/>
    <w:tmpl w:val="C368E47C"/>
    <w:lvl w:ilvl="0" w:tplc="F026A670">
      <w:start w:val="1"/>
      <w:numFmt w:val="decimal"/>
      <w:lvlText w:val="%1."/>
      <w:lvlJc w:val="left"/>
      <w:pPr>
        <w:tabs>
          <w:tab w:val="num" w:pos="720"/>
        </w:tabs>
        <w:ind w:left="720" w:hanging="360"/>
      </w:pPr>
      <w:rPr>
        <w:rFonts w:ascii="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9377C62"/>
    <w:multiLevelType w:val="hybridMultilevel"/>
    <w:tmpl w:val="F8C64F0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57F2E3A"/>
    <w:multiLevelType w:val="hybridMultilevel"/>
    <w:tmpl w:val="EE18C4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13D2B"/>
    <w:multiLevelType w:val="hybridMultilevel"/>
    <w:tmpl w:val="5CA0EBCE"/>
    <w:lvl w:ilvl="0" w:tplc="BCC45A36">
      <w:start w:val="1"/>
      <w:numFmt w:val="lowerLetter"/>
      <w:lvlText w:val="%1)"/>
      <w:lvlJc w:val="left"/>
      <w:pPr>
        <w:tabs>
          <w:tab w:val="num" w:pos="720"/>
        </w:tabs>
        <w:ind w:left="720" w:hanging="360"/>
      </w:pPr>
      <w:rPr>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B2C4D80"/>
    <w:multiLevelType w:val="multilevel"/>
    <w:tmpl w:val="0CF80A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BC6B87"/>
    <w:multiLevelType w:val="hybridMultilevel"/>
    <w:tmpl w:val="7BCEFBAA"/>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95576FA"/>
    <w:multiLevelType w:val="hybridMultilevel"/>
    <w:tmpl w:val="F01022A8"/>
    <w:lvl w:ilvl="0" w:tplc="D2523FB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BD6DCA"/>
    <w:multiLevelType w:val="hybridMultilevel"/>
    <w:tmpl w:val="71148C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2F3DFE"/>
    <w:multiLevelType w:val="hybridMultilevel"/>
    <w:tmpl w:val="899EE8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BA3E0F"/>
    <w:multiLevelType w:val="hybridMultilevel"/>
    <w:tmpl w:val="899EE8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10A5CBB"/>
    <w:multiLevelType w:val="hybridMultilevel"/>
    <w:tmpl w:val="899EE8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4A70BE"/>
    <w:multiLevelType w:val="hybridMultilevel"/>
    <w:tmpl w:val="F09670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9"/>
  </w:num>
  <w:num w:numId="4">
    <w:abstractNumId w:val="3"/>
  </w:num>
  <w:num w:numId="5">
    <w:abstractNumId w:val="5"/>
  </w:num>
  <w:num w:numId="6">
    <w:abstractNumId w:val="15"/>
  </w:num>
  <w:num w:numId="7">
    <w:abstractNumId w:val="8"/>
  </w:num>
  <w:num w:numId="8">
    <w:abstractNumId w:val="12"/>
  </w:num>
  <w:num w:numId="9">
    <w:abstractNumId w:val="0"/>
  </w:num>
  <w:num w:numId="10">
    <w:abstractNumId w:val="2"/>
    <w:lvlOverride w:ilvl="0">
      <w:startOverride w:val="1"/>
    </w:lvlOverride>
  </w:num>
  <w:num w:numId="11">
    <w:abstractNumId w:val="16"/>
  </w:num>
  <w:num w:numId="12">
    <w:abstractNumId w:val="10"/>
  </w:num>
  <w:num w:numId="13">
    <w:abstractNumId w:val="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47F"/>
    <w:rsid w:val="000035AF"/>
    <w:rsid w:val="00012191"/>
    <w:rsid w:val="0001725F"/>
    <w:rsid w:val="00017E67"/>
    <w:rsid w:val="0003752A"/>
    <w:rsid w:val="00037A7A"/>
    <w:rsid w:val="0004040F"/>
    <w:rsid w:val="000449CC"/>
    <w:rsid w:val="00044F7A"/>
    <w:rsid w:val="000504CE"/>
    <w:rsid w:val="00073839"/>
    <w:rsid w:val="00091636"/>
    <w:rsid w:val="000A1934"/>
    <w:rsid w:val="000B4B35"/>
    <w:rsid w:val="000C7F7F"/>
    <w:rsid w:val="00110250"/>
    <w:rsid w:val="00126B69"/>
    <w:rsid w:val="00131A9D"/>
    <w:rsid w:val="00132EF2"/>
    <w:rsid w:val="00140984"/>
    <w:rsid w:val="0014451F"/>
    <w:rsid w:val="001473C6"/>
    <w:rsid w:val="00147F84"/>
    <w:rsid w:val="00153C3E"/>
    <w:rsid w:val="00157618"/>
    <w:rsid w:val="00174431"/>
    <w:rsid w:val="00175138"/>
    <w:rsid w:val="001B62A8"/>
    <w:rsid w:val="001C52C9"/>
    <w:rsid w:val="00213CB0"/>
    <w:rsid w:val="002174BF"/>
    <w:rsid w:val="00250554"/>
    <w:rsid w:val="002515D4"/>
    <w:rsid w:val="002659BE"/>
    <w:rsid w:val="0027717F"/>
    <w:rsid w:val="00282BAE"/>
    <w:rsid w:val="00286A3C"/>
    <w:rsid w:val="00286AFC"/>
    <w:rsid w:val="00287970"/>
    <w:rsid w:val="002B0AFE"/>
    <w:rsid w:val="002B6D18"/>
    <w:rsid w:val="002C2FCA"/>
    <w:rsid w:val="002C3E97"/>
    <w:rsid w:val="002D0B10"/>
    <w:rsid w:val="002D1CAD"/>
    <w:rsid w:val="002D26B6"/>
    <w:rsid w:val="002F6459"/>
    <w:rsid w:val="003024B1"/>
    <w:rsid w:val="00303938"/>
    <w:rsid w:val="00310EDE"/>
    <w:rsid w:val="00323AAB"/>
    <w:rsid w:val="00324290"/>
    <w:rsid w:val="003327F0"/>
    <w:rsid w:val="00341CF3"/>
    <w:rsid w:val="00363125"/>
    <w:rsid w:val="00390DBD"/>
    <w:rsid w:val="003A0B03"/>
    <w:rsid w:val="003B533E"/>
    <w:rsid w:val="003B5C5D"/>
    <w:rsid w:val="003C1BD8"/>
    <w:rsid w:val="003F2A70"/>
    <w:rsid w:val="003F580E"/>
    <w:rsid w:val="00412C29"/>
    <w:rsid w:val="00426387"/>
    <w:rsid w:val="00432F43"/>
    <w:rsid w:val="00444CFA"/>
    <w:rsid w:val="00447F29"/>
    <w:rsid w:val="00466758"/>
    <w:rsid w:val="004975D0"/>
    <w:rsid w:val="004A5A7C"/>
    <w:rsid w:val="004A7E27"/>
    <w:rsid w:val="004B4FF8"/>
    <w:rsid w:val="004C53C6"/>
    <w:rsid w:val="004D413B"/>
    <w:rsid w:val="0050479E"/>
    <w:rsid w:val="00512A9E"/>
    <w:rsid w:val="00521E83"/>
    <w:rsid w:val="00523C4E"/>
    <w:rsid w:val="00532534"/>
    <w:rsid w:val="00542ACB"/>
    <w:rsid w:val="005455FE"/>
    <w:rsid w:val="0058147F"/>
    <w:rsid w:val="00585B8D"/>
    <w:rsid w:val="005A624C"/>
    <w:rsid w:val="005C3663"/>
    <w:rsid w:val="005C6D6A"/>
    <w:rsid w:val="005F73AD"/>
    <w:rsid w:val="00611903"/>
    <w:rsid w:val="00615348"/>
    <w:rsid w:val="00620135"/>
    <w:rsid w:val="00621299"/>
    <w:rsid w:val="00624490"/>
    <w:rsid w:val="006300CA"/>
    <w:rsid w:val="00640E1C"/>
    <w:rsid w:val="006423F6"/>
    <w:rsid w:val="006466FA"/>
    <w:rsid w:val="00647E48"/>
    <w:rsid w:val="00660E5E"/>
    <w:rsid w:val="0066158E"/>
    <w:rsid w:val="00667AEE"/>
    <w:rsid w:val="0067305E"/>
    <w:rsid w:val="00673120"/>
    <w:rsid w:val="00675E46"/>
    <w:rsid w:val="0068074B"/>
    <w:rsid w:val="00683D31"/>
    <w:rsid w:val="00694806"/>
    <w:rsid w:val="00694F0A"/>
    <w:rsid w:val="00695579"/>
    <w:rsid w:val="006A0081"/>
    <w:rsid w:val="006A1A06"/>
    <w:rsid w:val="006A4036"/>
    <w:rsid w:val="006A6895"/>
    <w:rsid w:val="006B70A7"/>
    <w:rsid w:val="006C199C"/>
    <w:rsid w:val="006E462B"/>
    <w:rsid w:val="006F35EA"/>
    <w:rsid w:val="006F3E51"/>
    <w:rsid w:val="006F7F31"/>
    <w:rsid w:val="007054AC"/>
    <w:rsid w:val="00742142"/>
    <w:rsid w:val="00757A87"/>
    <w:rsid w:val="00760668"/>
    <w:rsid w:val="00761AF5"/>
    <w:rsid w:val="00777DE5"/>
    <w:rsid w:val="00780C4A"/>
    <w:rsid w:val="00787C6F"/>
    <w:rsid w:val="00790F5C"/>
    <w:rsid w:val="00797222"/>
    <w:rsid w:val="007A615D"/>
    <w:rsid w:val="007B21A6"/>
    <w:rsid w:val="007C10A0"/>
    <w:rsid w:val="007C17CA"/>
    <w:rsid w:val="007C4C2D"/>
    <w:rsid w:val="007D57C4"/>
    <w:rsid w:val="007E7094"/>
    <w:rsid w:val="007F3530"/>
    <w:rsid w:val="00802626"/>
    <w:rsid w:val="00816652"/>
    <w:rsid w:val="00827F01"/>
    <w:rsid w:val="00833B49"/>
    <w:rsid w:val="008529A1"/>
    <w:rsid w:val="008530B3"/>
    <w:rsid w:val="00867475"/>
    <w:rsid w:val="00887156"/>
    <w:rsid w:val="008D36D7"/>
    <w:rsid w:val="008D7EA6"/>
    <w:rsid w:val="008F0155"/>
    <w:rsid w:val="008F0755"/>
    <w:rsid w:val="00902F3D"/>
    <w:rsid w:val="00903116"/>
    <w:rsid w:val="009079AB"/>
    <w:rsid w:val="00911896"/>
    <w:rsid w:val="00923260"/>
    <w:rsid w:val="009263DB"/>
    <w:rsid w:val="0094102F"/>
    <w:rsid w:val="0094523A"/>
    <w:rsid w:val="009569A3"/>
    <w:rsid w:val="00963E94"/>
    <w:rsid w:val="00973E3C"/>
    <w:rsid w:val="009743DE"/>
    <w:rsid w:val="009753F1"/>
    <w:rsid w:val="00993F56"/>
    <w:rsid w:val="009A6403"/>
    <w:rsid w:val="009B29FD"/>
    <w:rsid w:val="009C00B2"/>
    <w:rsid w:val="009C09DB"/>
    <w:rsid w:val="009C6436"/>
    <w:rsid w:val="009D4F1A"/>
    <w:rsid w:val="009F1971"/>
    <w:rsid w:val="009F44B3"/>
    <w:rsid w:val="00A222E7"/>
    <w:rsid w:val="00A22B29"/>
    <w:rsid w:val="00A2522C"/>
    <w:rsid w:val="00A35AA7"/>
    <w:rsid w:val="00A4318D"/>
    <w:rsid w:val="00A4338A"/>
    <w:rsid w:val="00A43BCD"/>
    <w:rsid w:val="00A47FE1"/>
    <w:rsid w:val="00A540F7"/>
    <w:rsid w:val="00A5584D"/>
    <w:rsid w:val="00A55F75"/>
    <w:rsid w:val="00A749ED"/>
    <w:rsid w:val="00A86572"/>
    <w:rsid w:val="00A8693E"/>
    <w:rsid w:val="00A94258"/>
    <w:rsid w:val="00AA24DE"/>
    <w:rsid w:val="00AC615F"/>
    <w:rsid w:val="00AD4F99"/>
    <w:rsid w:val="00AD5C09"/>
    <w:rsid w:val="00AE04F9"/>
    <w:rsid w:val="00AE20C5"/>
    <w:rsid w:val="00AE2FF8"/>
    <w:rsid w:val="00AF1D11"/>
    <w:rsid w:val="00B0544B"/>
    <w:rsid w:val="00B07176"/>
    <w:rsid w:val="00B11F74"/>
    <w:rsid w:val="00B155FB"/>
    <w:rsid w:val="00B31B32"/>
    <w:rsid w:val="00B31C4C"/>
    <w:rsid w:val="00B4053B"/>
    <w:rsid w:val="00B46EF3"/>
    <w:rsid w:val="00B531DD"/>
    <w:rsid w:val="00B60901"/>
    <w:rsid w:val="00B7412E"/>
    <w:rsid w:val="00B74823"/>
    <w:rsid w:val="00B7737F"/>
    <w:rsid w:val="00B77760"/>
    <w:rsid w:val="00BA7924"/>
    <w:rsid w:val="00BA79F0"/>
    <w:rsid w:val="00BB1202"/>
    <w:rsid w:val="00BB2ACE"/>
    <w:rsid w:val="00BC1C3E"/>
    <w:rsid w:val="00BC4C96"/>
    <w:rsid w:val="00BE375D"/>
    <w:rsid w:val="00BE5C41"/>
    <w:rsid w:val="00BF30E8"/>
    <w:rsid w:val="00C1014B"/>
    <w:rsid w:val="00C1342E"/>
    <w:rsid w:val="00C13676"/>
    <w:rsid w:val="00C41130"/>
    <w:rsid w:val="00C47786"/>
    <w:rsid w:val="00C47FB4"/>
    <w:rsid w:val="00C50796"/>
    <w:rsid w:val="00C668F8"/>
    <w:rsid w:val="00C72066"/>
    <w:rsid w:val="00C724B9"/>
    <w:rsid w:val="00C751D6"/>
    <w:rsid w:val="00C91771"/>
    <w:rsid w:val="00C930BE"/>
    <w:rsid w:val="00C94785"/>
    <w:rsid w:val="00CA63CC"/>
    <w:rsid w:val="00CB070E"/>
    <w:rsid w:val="00CC2D69"/>
    <w:rsid w:val="00CC3F03"/>
    <w:rsid w:val="00CC4372"/>
    <w:rsid w:val="00CD3B8C"/>
    <w:rsid w:val="00CE3AC4"/>
    <w:rsid w:val="00CE4C2D"/>
    <w:rsid w:val="00D06CB6"/>
    <w:rsid w:val="00D157EC"/>
    <w:rsid w:val="00D25DF1"/>
    <w:rsid w:val="00D26A87"/>
    <w:rsid w:val="00D3647A"/>
    <w:rsid w:val="00D7645F"/>
    <w:rsid w:val="00D81254"/>
    <w:rsid w:val="00D83FBD"/>
    <w:rsid w:val="00DA5603"/>
    <w:rsid w:val="00DB1E53"/>
    <w:rsid w:val="00DC0E89"/>
    <w:rsid w:val="00DC5D5E"/>
    <w:rsid w:val="00DE20D2"/>
    <w:rsid w:val="00DE3F1F"/>
    <w:rsid w:val="00DE4467"/>
    <w:rsid w:val="00DE4C81"/>
    <w:rsid w:val="00DF4E1C"/>
    <w:rsid w:val="00DF6109"/>
    <w:rsid w:val="00E05B66"/>
    <w:rsid w:val="00E20D64"/>
    <w:rsid w:val="00E240B9"/>
    <w:rsid w:val="00E43320"/>
    <w:rsid w:val="00E45581"/>
    <w:rsid w:val="00E47028"/>
    <w:rsid w:val="00E658DB"/>
    <w:rsid w:val="00E66FAE"/>
    <w:rsid w:val="00E73AFB"/>
    <w:rsid w:val="00E73B75"/>
    <w:rsid w:val="00E744A3"/>
    <w:rsid w:val="00E93841"/>
    <w:rsid w:val="00EA32C4"/>
    <w:rsid w:val="00EA6EC2"/>
    <w:rsid w:val="00EB7955"/>
    <w:rsid w:val="00EF1A09"/>
    <w:rsid w:val="00EF1D84"/>
    <w:rsid w:val="00F21C74"/>
    <w:rsid w:val="00F24772"/>
    <w:rsid w:val="00F318C2"/>
    <w:rsid w:val="00F34723"/>
    <w:rsid w:val="00F62C06"/>
    <w:rsid w:val="00F63D34"/>
    <w:rsid w:val="00F66B1C"/>
    <w:rsid w:val="00FA4D89"/>
    <w:rsid w:val="00FB12D5"/>
    <w:rsid w:val="00FC6199"/>
    <w:rsid w:val="00FD21F2"/>
    <w:rsid w:val="00FE7B7E"/>
    <w:rsid w:val="00FF0BF3"/>
    <w:rsid w:val="00FF5B22"/>
    <w:rsid w:val="00FF6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4C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814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2D69"/>
    <w:rPr>
      <w:b/>
      <w:bCs/>
    </w:rPr>
  </w:style>
  <w:style w:type="paragraph" w:styleId="ListParagraph">
    <w:name w:val="List Paragraph"/>
    <w:basedOn w:val="Normal"/>
    <w:uiPriority w:val="34"/>
    <w:qFormat/>
    <w:rsid w:val="00C930BE"/>
    <w:pPr>
      <w:ind w:left="720"/>
      <w:contextualSpacing/>
    </w:pPr>
  </w:style>
  <w:style w:type="paragraph" w:styleId="Header">
    <w:name w:val="header"/>
    <w:basedOn w:val="Normal"/>
    <w:link w:val="HeaderChar"/>
    <w:uiPriority w:val="99"/>
    <w:unhideWhenUsed/>
    <w:rsid w:val="00B15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5FB"/>
  </w:style>
  <w:style w:type="paragraph" w:styleId="Footer">
    <w:name w:val="footer"/>
    <w:basedOn w:val="Normal"/>
    <w:link w:val="FooterChar"/>
    <w:uiPriority w:val="99"/>
    <w:unhideWhenUsed/>
    <w:rsid w:val="00B15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5FB"/>
  </w:style>
  <w:style w:type="paragraph" w:styleId="BalloonText">
    <w:name w:val="Balloon Text"/>
    <w:basedOn w:val="Normal"/>
    <w:link w:val="BalloonTextChar"/>
    <w:uiPriority w:val="99"/>
    <w:semiHidden/>
    <w:unhideWhenUsed/>
    <w:rsid w:val="00B15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FB"/>
    <w:rPr>
      <w:rFonts w:ascii="Tahoma" w:hAnsi="Tahoma" w:cs="Tahoma"/>
      <w:sz w:val="16"/>
      <w:szCs w:val="16"/>
    </w:rPr>
  </w:style>
  <w:style w:type="paragraph" w:styleId="NormalWeb">
    <w:name w:val="Normal (Web)"/>
    <w:basedOn w:val="Normal"/>
    <w:uiPriority w:val="99"/>
    <w:unhideWhenUsed/>
    <w:rsid w:val="00EA6E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6EC2"/>
    <w:rPr>
      <w:color w:val="0000FF"/>
      <w:u w:val="single"/>
    </w:rPr>
  </w:style>
  <w:style w:type="paragraph" w:styleId="BodyText">
    <w:name w:val="Body Text"/>
    <w:basedOn w:val="Normal"/>
    <w:link w:val="BodyTextChar"/>
    <w:rsid w:val="00157618"/>
    <w:pPr>
      <w:spacing w:after="0" w:line="240" w:lineRule="auto"/>
    </w:pPr>
    <w:rPr>
      <w:rFonts w:ascii="Arial" w:eastAsia="Times New Roman" w:hAnsi="Arial" w:cs="Times New Roman"/>
      <w:sz w:val="28"/>
      <w:szCs w:val="20"/>
    </w:rPr>
  </w:style>
  <w:style w:type="character" w:customStyle="1" w:styleId="BodyTextChar">
    <w:name w:val="Body Text Char"/>
    <w:basedOn w:val="DefaultParagraphFont"/>
    <w:link w:val="BodyText"/>
    <w:rsid w:val="00157618"/>
    <w:rPr>
      <w:rFonts w:ascii="Arial" w:eastAsia="Times New Roman" w:hAnsi="Arial" w:cs="Times New Roman"/>
      <w:sz w:val="28"/>
      <w:szCs w:val="20"/>
      <w:lang w:val="ro-RO"/>
    </w:rPr>
  </w:style>
  <w:style w:type="paragraph" w:styleId="PlainText">
    <w:name w:val="Plain Text"/>
    <w:basedOn w:val="Normal"/>
    <w:link w:val="PlainTextChar"/>
    <w:uiPriority w:val="99"/>
    <w:semiHidden/>
    <w:unhideWhenUsed/>
    <w:rsid w:val="00157618"/>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157618"/>
    <w:rPr>
      <w:rFonts w:ascii="Consolas" w:eastAsia="Calibri" w:hAnsi="Consolas" w:cs="Times New Roman"/>
      <w:sz w:val="21"/>
      <w:szCs w:val="21"/>
    </w:rPr>
  </w:style>
  <w:style w:type="paragraph" w:customStyle="1" w:styleId="Normal1">
    <w:name w:val="Normal1"/>
    <w:rsid w:val="00695579"/>
    <w:pPr>
      <w:spacing w:after="0"/>
    </w:pPr>
    <w:rPr>
      <w:rFonts w:ascii="Arial" w:eastAsia="Arial" w:hAnsi="Arial" w:cs="Arial"/>
    </w:rPr>
  </w:style>
  <w:style w:type="character" w:styleId="FollowedHyperlink">
    <w:name w:val="FollowedHyperlink"/>
    <w:basedOn w:val="DefaultParagraphFont"/>
    <w:uiPriority w:val="99"/>
    <w:semiHidden/>
    <w:unhideWhenUsed/>
    <w:rsid w:val="00E05B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814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2D69"/>
    <w:rPr>
      <w:b/>
      <w:bCs/>
    </w:rPr>
  </w:style>
  <w:style w:type="paragraph" w:styleId="ListParagraph">
    <w:name w:val="List Paragraph"/>
    <w:basedOn w:val="Normal"/>
    <w:uiPriority w:val="34"/>
    <w:qFormat/>
    <w:rsid w:val="00C930BE"/>
    <w:pPr>
      <w:ind w:left="720"/>
      <w:contextualSpacing/>
    </w:pPr>
  </w:style>
  <w:style w:type="paragraph" w:styleId="Header">
    <w:name w:val="header"/>
    <w:basedOn w:val="Normal"/>
    <w:link w:val="HeaderChar"/>
    <w:uiPriority w:val="99"/>
    <w:unhideWhenUsed/>
    <w:rsid w:val="00B15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5FB"/>
  </w:style>
  <w:style w:type="paragraph" w:styleId="Footer">
    <w:name w:val="footer"/>
    <w:basedOn w:val="Normal"/>
    <w:link w:val="FooterChar"/>
    <w:uiPriority w:val="99"/>
    <w:unhideWhenUsed/>
    <w:rsid w:val="00B15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5FB"/>
  </w:style>
  <w:style w:type="paragraph" w:styleId="BalloonText">
    <w:name w:val="Balloon Text"/>
    <w:basedOn w:val="Normal"/>
    <w:link w:val="BalloonTextChar"/>
    <w:uiPriority w:val="99"/>
    <w:semiHidden/>
    <w:unhideWhenUsed/>
    <w:rsid w:val="00B15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FB"/>
    <w:rPr>
      <w:rFonts w:ascii="Tahoma" w:hAnsi="Tahoma" w:cs="Tahoma"/>
      <w:sz w:val="16"/>
      <w:szCs w:val="16"/>
    </w:rPr>
  </w:style>
  <w:style w:type="paragraph" w:styleId="NormalWeb">
    <w:name w:val="Normal (Web)"/>
    <w:basedOn w:val="Normal"/>
    <w:uiPriority w:val="99"/>
    <w:unhideWhenUsed/>
    <w:rsid w:val="00EA6E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6EC2"/>
    <w:rPr>
      <w:color w:val="0000FF"/>
      <w:u w:val="single"/>
    </w:rPr>
  </w:style>
  <w:style w:type="paragraph" w:styleId="BodyText">
    <w:name w:val="Body Text"/>
    <w:basedOn w:val="Normal"/>
    <w:link w:val="BodyTextChar"/>
    <w:rsid w:val="00157618"/>
    <w:pPr>
      <w:spacing w:after="0" w:line="240" w:lineRule="auto"/>
    </w:pPr>
    <w:rPr>
      <w:rFonts w:ascii="Arial" w:eastAsia="Times New Roman" w:hAnsi="Arial" w:cs="Times New Roman"/>
      <w:sz w:val="28"/>
      <w:szCs w:val="20"/>
    </w:rPr>
  </w:style>
  <w:style w:type="character" w:customStyle="1" w:styleId="BodyTextChar">
    <w:name w:val="Body Text Char"/>
    <w:basedOn w:val="DefaultParagraphFont"/>
    <w:link w:val="BodyText"/>
    <w:rsid w:val="00157618"/>
    <w:rPr>
      <w:rFonts w:ascii="Arial" w:eastAsia="Times New Roman" w:hAnsi="Arial" w:cs="Times New Roman"/>
      <w:sz w:val="28"/>
      <w:szCs w:val="20"/>
      <w:lang w:val="ro-RO"/>
    </w:rPr>
  </w:style>
  <w:style w:type="paragraph" w:styleId="PlainText">
    <w:name w:val="Plain Text"/>
    <w:basedOn w:val="Normal"/>
    <w:link w:val="PlainTextChar"/>
    <w:uiPriority w:val="99"/>
    <w:semiHidden/>
    <w:unhideWhenUsed/>
    <w:rsid w:val="00157618"/>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157618"/>
    <w:rPr>
      <w:rFonts w:ascii="Consolas" w:eastAsia="Calibri" w:hAnsi="Consolas" w:cs="Times New Roman"/>
      <w:sz w:val="21"/>
      <w:szCs w:val="21"/>
    </w:rPr>
  </w:style>
  <w:style w:type="paragraph" w:customStyle="1" w:styleId="Normal1">
    <w:name w:val="Normal1"/>
    <w:rsid w:val="00695579"/>
    <w:pPr>
      <w:spacing w:after="0"/>
    </w:pPr>
    <w:rPr>
      <w:rFonts w:ascii="Arial" w:eastAsia="Arial" w:hAnsi="Arial" w:cs="Arial"/>
    </w:rPr>
  </w:style>
  <w:style w:type="character" w:styleId="FollowedHyperlink">
    <w:name w:val="FollowedHyperlink"/>
    <w:basedOn w:val="DefaultParagraphFont"/>
    <w:uiPriority w:val="99"/>
    <w:semiHidden/>
    <w:unhideWhenUsed/>
    <w:rsid w:val="00E05B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60680">
      <w:bodyDiv w:val="1"/>
      <w:marLeft w:val="0"/>
      <w:marRight w:val="0"/>
      <w:marTop w:val="0"/>
      <w:marBottom w:val="0"/>
      <w:divBdr>
        <w:top w:val="none" w:sz="0" w:space="0" w:color="auto"/>
        <w:left w:val="none" w:sz="0" w:space="0" w:color="auto"/>
        <w:bottom w:val="none" w:sz="0" w:space="0" w:color="auto"/>
        <w:right w:val="none" w:sz="0" w:space="0" w:color="auto"/>
      </w:divBdr>
    </w:div>
    <w:div w:id="278923805">
      <w:bodyDiv w:val="1"/>
      <w:marLeft w:val="0"/>
      <w:marRight w:val="0"/>
      <w:marTop w:val="0"/>
      <w:marBottom w:val="0"/>
      <w:divBdr>
        <w:top w:val="none" w:sz="0" w:space="0" w:color="auto"/>
        <w:left w:val="none" w:sz="0" w:space="0" w:color="auto"/>
        <w:bottom w:val="none" w:sz="0" w:space="0" w:color="auto"/>
        <w:right w:val="none" w:sz="0" w:space="0" w:color="auto"/>
      </w:divBdr>
      <w:divsChild>
        <w:div w:id="1626812993">
          <w:marLeft w:val="0"/>
          <w:marRight w:val="0"/>
          <w:marTop w:val="0"/>
          <w:marBottom w:val="0"/>
          <w:divBdr>
            <w:top w:val="none" w:sz="0" w:space="0" w:color="auto"/>
            <w:left w:val="none" w:sz="0" w:space="0" w:color="auto"/>
            <w:bottom w:val="none" w:sz="0" w:space="0" w:color="auto"/>
            <w:right w:val="none" w:sz="0" w:space="0" w:color="auto"/>
          </w:divBdr>
        </w:div>
        <w:div w:id="1611399468">
          <w:marLeft w:val="0"/>
          <w:marRight w:val="0"/>
          <w:marTop w:val="120"/>
          <w:marBottom w:val="0"/>
          <w:divBdr>
            <w:top w:val="none" w:sz="0" w:space="0" w:color="auto"/>
            <w:left w:val="none" w:sz="0" w:space="0" w:color="auto"/>
            <w:bottom w:val="none" w:sz="0" w:space="0" w:color="auto"/>
            <w:right w:val="none" w:sz="0" w:space="0" w:color="auto"/>
          </w:divBdr>
          <w:divsChild>
            <w:div w:id="1931159374">
              <w:marLeft w:val="0"/>
              <w:marRight w:val="0"/>
              <w:marTop w:val="0"/>
              <w:marBottom w:val="0"/>
              <w:divBdr>
                <w:top w:val="none" w:sz="0" w:space="0" w:color="auto"/>
                <w:left w:val="none" w:sz="0" w:space="0" w:color="auto"/>
                <w:bottom w:val="none" w:sz="0" w:space="0" w:color="auto"/>
                <w:right w:val="none" w:sz="0" w:space="0" w:color="auto"/>
              </w:divBdr>
            </w:div>
          </w:divsChild>
        </w:div>
        <w:div w:id="200243569">
          <w:marLeft w:val="0"/>
          <w:marRight w:val="0"/>
          <w:marTop w:val="120"/>
          <w:marBottom w:val="0"/>
          <w:divBdr>
            <w:top w:val="none" w:sz="0" w:space="0" w:color="auto"/>
            <w:left w:val="none" w:sz="0" w:space="0" w:color="auto"/>
            <w:bottom w:val="none" w:sz="0" w:space="0" w:color="auto"/>
            <w:right w:val="none" w:sz="0" w:space="0" w:color="auto"/>
          </w:divBdr>
          <w:divsChild>
            <w:div w:id="208267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56033">
      <w:bodyDiv w:val="1"/>
      <w:marLeft w:val="0"/>
      <w:marRight w:val="0"/>
      <w:marTop w:val="0"/>
      <w:marBottom w:val="0"/>
      <w:divBdr>
        <w:top w:val="none" w:sz="0" w:space="0" w:color="auto"/>
        <w:left w:val="none" w:sz="0" w:space="0" w:color="auto"/>
        <w:bottom w:val="none" w:sz="0" w:space="0" w:color="auto"/>
        <w:right w:val="none" w:sz="0" w:space="0" w:color="auto"/>
      </w:divBdr>
    </w:div>
    <w:div w:id="1008295420">
      <w:bodyDiv w:val="1"/>
      <w:marLeft w:val="0"/>
      <w:marRight w:val="0"/>
      <w:marTop w:val="0"/>
      <w:marBottom w:val="0"/>
      <w:divBdr>
        <w:top w:val="none" w:sz="0" w:space="0" w:color="auto"/>
        <w:left w:val="none" w:sz="0" w:space="0" w:color="auto"/>
        <w:bottom w:val="none" w:sz="0" w:space="0" w:color="auto"/>
        <w:right w:val="none" w:sz="0" w:space="0" w:color="auto"/>
      </w:divBdr>
    </w:div>
    <w:div w:id="1635676952">
      <w:bodyDiv w:val="1"/>
      <w:marLeft w:val="0"/>
      <w:marRight w:val="0"/>
      <w:marTop w:val="0"/>
      <w:marBottom w:val="0"/>
      <w:divBdr>
        <w:top w:val="none" w:sz="0" w:space="0" w:color="auto"/>
        <w:left w:val="none" w:sz="0" w:space="0" w:color="auto"/>
        <w:bottom w:val="none" w:sz="0" w:space="0" w:color="auto"/>
        <w:right w:val="none" w:sz="0" w:space="0" w:color="auto"/>
      </w:divBdr>
      <w:divsChild>
        <w:div w:id="1646354925">
          <w:marLeft w:val="0"/>
          <w:marRight w:val="0"/>
          <w:marTop w:val="0"/>
          <w:marBottom w:val="0"/>
          <w:divBdr>
            <w:top w:val="none" w:sz="0" w:space="0" w:color="auto"/>
            <w:left w:val="none" w:sz="0" w:space="0" w:color="auto"/>
            <w:bottom w:val="none" w:sz="0" w:space="0" w:color="auto"/>
            <w:right w:val="none" w:sz="0" w:space="0" w:color="auto"/>
          </w:divBdr>
          <w:divsChild>
            <w:div w:id="1696034269">
              <w:marLeft w:val="0"/>
              <w:marRight w:val="0"/>
              <w:marTop w:val="0"/>
              <w:marBottom w:val="0"/>
              <w:divBdr>
                <w:top w:val="none" w:sz="0" w:space="0" w:color="auto"/>
                <w:left w:val="none" w:sz="0" w:space="0" w:color="auto"/>
                <w:bottom w:val="none" w:sz="0" w:space="0" w:color="auto"/>
                <w:right w:val="none" w:sz="0" w:space="0" w:color="auto"/>
              </w:divBdr>
              <w:divsChild>
                <w:div w:id="155808395">
                  <w:marLeft w:val="0"/>
                  <w:marRight w:val="0"/>
                  <w:marTop w:val="0"/>
                  <w:marBottom w:val="0"/>
                  <w:divBdr>
                    <w:top w:val="none" w:sz="0" w:space="0" w:color="auto"/>
                    <w:left w:val="none" w:sz="0" w:space="0" w:color="auto"/>
                    <w:bottom w:val="none" w:sz="0" w:space="0" w:color="auto"/>
                    <w:right w:val="none" w:sz="0" w:space="0" w:color="auto"/>
                  </w:divBdr>
                  <w:divsChild>
                    <w:div w:id="516114868">
                      <w:marLeft w:val="0"/>
                      <w:marRight w:val="0"/>
                      <w:marTop w:val="0"/>
                      <w:marBottom w:val="0"/>
                      <w:divBdr>
                        <w:top w:val="none" w:sz="0" w:space="0" w:color="auto"/>
                        <w:left w:val="none" w:sz="0" w:space="0" w:color="auto"/>
                        <w:bottom w:val="none" w:sz="0" w:space="0" w:color="auto"/>
                        <w:right w:val="none" w:sz="0" w:space="0" w:color="auto"/>
                      </w:divBdr>
                      <w:divsChild>
                        <w:div w:id="113133330">
                          <w:marLeft w:val="0"/>
                          <w:marRight w:val="0"/>
                          <w:marTop w:val="0"/>
                          <w:marBottom w:val="0"/>
                          <w:divBdr>
                            <w:top w:val="none" w:sz="0" w:space="0" w:color="auto"/>
                            <w:left w:val="none" w:sz="0" w:space="0" w:color="auto"/>
                            <w:bottom w:val="none" w:sz="0" w:space="0" w:color="auto"/>
                            <w:right w:val="none" w:sz="0" w:space="0" w:color="auto"/>
                          </w:divBdr>
                          <w:divsChild>
                            <w:div w:id="13124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5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r.ro/pagini/consiliul-de-conducer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cr.ro/pagini/institutul-cultural-roman-si-a-stabilit-principalele-directii-de-activitate-pentru-perioada-2022-20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cr.ro" TargetMode="External"/><Relationship Id="rId4" Type="http://schemas.openxmlformats.org/officeDocument/2006/relationships/settings" Target="settings.xml"/><Relationship Id="rId9" Type="http://schemas.openxmlformats.org/officeDocument/2006/relationships/hyperlink" Target="https://www.icr.ro/uploads/files/stategie2022-2026.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ICR București</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Alice Dinu</dc:creator>
  <cp:lastModifiedBy>Madalina Dolcescu</cp:lastModifiedBy>
  <cp:revision>4</cp:revision>
  <cp:lastPrinted>2022-02-01T11:25:00Z</cp:lastPrinted>
  <dcterms:created xsi:type="dcterms:W3CDTF">2022-02-01T13:46:00Z</dcterms:created>
  <dcterms:modified xsi:type="dcterms:W3CDTF">2022-02-10T15:34:00Z</dcterms:modified>
</cp:coreProperties>
</file>