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E45EE" w14:textId="77777777" w:rsidR="00E262A5" w:rsidRDefault="00E262A5">
      <w:pPr>
        <w:jc w:val="right"/>
        <w:rPr>
          <w:sz w:val="20"/>
          <w:szCs w:val="20"/>
        </w:rPr>
      </w:pPr>
    </w:p>
    <w:p w14:paraId="230D98AC" w14:textId="77777777" w:rsidR="00E262A5" w:rsidRDefault="00DF5223">
      <w:pPr>
        <w:jc w:val="right"/>
        <w:rPr>
          <w:sz w:val="18"/>
          <w:szCs w:val="18"/>
        </w:rPr>
      </w:pPr>
      <w:r>
        <w:rPr>
          <w:sz w:val="18"/>
          <w:szCs w:val="18"/>
        </w:rPr>
        <w:t>17 februarie 2025</w:t>
      </w:r>
    </w:p>
    <w:p w14:paraId="5BA6D6D3" w14:textId="77777777" w:rsidR="00E262A5" w:rsidRDefault="00E262A5">
      <w:pPr>
        <w:jc w:val="center"/>
        <w:rPr>
          <w:b/>
          <w:sz w:val="20"/>
          <w:szCs w:val="20"/>
        </w:rPr>
      </w:pPr>
    </w:p>
    <w:p w14:paraId="2A8C3C6A" w14:textId="77777777" w:rsidR="00E262A5" w:rsidRDefault="00DF5223">
      <w:pPr>
        <w:jc w:val="center"/>
        <w:rPr>
          <w:sz w:val="24"/>
          <w:szCs w:val="24"/>
        </w:rPr>
      </w:pPr>
      <w:r>
        <w:rPr>
          <w:b/>
          <w:sz w:val="24"/>
          <w:szCs w:val="24"/>
        </w:rPr>
        <w:t>Comunicat de presă</w:t>
      </w:r>
    </w:p>
    <w:p w14:paraId="60F6673A" w14:textId="77777777" w:rsidR="00E262A5" w:rsidRDefault="00E262A5">
      <w:pPr>
        <w:rPr>
          <w:sz w:val="24"/>
          <w:szCs w:val="24"/>
        </w:rPr>
      </w:pPr>
    </w:p>
    <w:p w14:paraId="67E3092A" w14:textId="77777777" w:rsidR="00E262A5" w:rsidRDefault="00DF5223">
      <w:pPr>
        <w:jc w:val="center"/>
        <w:rPr>
          <w:b/>
          <w:sz w:val="24"/>
          <w:szCs w:val="24"/>
        </w:rPr>
      </w:pPr>
      <w:r>
        <w:rPr>
          <w:sz w:val="24"/>
          <w:szCs w:val="24"/>
        </w:rPr>
        <w:t>„</w:t>
      </w:r>
      <w:r>
        <w:rPr>
          <w:b/>
          <w:sz w:val="24"/>
          <w:szCs w:val="24"/>
        </w:rPr>
        <w:t>Human Scale” este proiectul care reprezintă România la cea de-a 19-a ediție a Expoziției Internaționale de Arhitectură - la Biennale di Venezia</w:t>
      </w:r>
    </w:p>
    <w:p w14:paraId="0BE37C15" w14:textId="77777777" w:rsidR="00E262A5" w:rsidRDefault="00E262A5">
      <w:pPr>
        <w:rPr>
          <w:sz w:val="18"/>
          <w:szCs w:val="18"/>
        </w:rPr>
      </w:pPr>
    </w:p>
    <w:p w14:paraId="311BF3B8" w14:textId="77777777" w:rsidR="00E262A5" w:rsidRDefault="00E262A5">
      <w:pPr>
        <w:rPr>
          <w:sz w:val="20"/>
          <w:szCs w:val="20"/>
        </w:rPr>
      </w:pPr>
    </w:p>
    <w:p w14:paraId="18619544" w14:textId="7D9D53C8" w:rsidR="00E262A5" w:rsidRDefault="00DF5223">
      <w:pPr>
        <w:jc w:val="both"/>
        <w:rPr>
          <w:sz w:val="18"/>
          <w:szCs w:val="18"/>
        </w:rPr>
      </w:pPr>
      <w:r>
        <w:rPr>
          <w:sz w:val="18"/>
          <w:szCs w:val="18"/>
        </w:rPr>
        <w:t>Institutul Cultural Român a organizat la sediu</w:t>
      </w:r>
      <w:r w:rsidR="00004D03">
        <w:rPr>
          <w:sz w:val="18"/>
          <w:szCs w:val="18"/>
        </w:rPr>
        <w:t>l</w:t>
      </w:r>
      <w:r>
        <w:rPr>
          <w:sz w:val="18"/>
          <w:szCs w:val="18"/>
        </w:rPr>
        <w:t xml:space="preserve"> </w:t>
      </w:r>
      <w:r>
        <w:rPr>
          <w:color w:val="202122"/>
          <w:sz w:val="18"/>
          <w:szCs w:val="18"/>
        </w:rPr>
        <w:t>din Aleea Alexandru</w:t>
      </w:r>
      <w:r>
        <w:rPr>
          <w:sz w:val="18"/>
          <w:szCs w:val="18"/>
        </w:rPr>
        <w:t>, astăzi, 17 februarie 2025, conferința de presă în cadrul căreia a fost prezentat proiectul „Human Scale”</w:t>
      </w:r>
      <w:r>
        <w:rPr>
          <w:i/>
          <w:sz w:val="18"/>
          <w:szCs w:val="18"/>
        </w:rPr>
        <w:t>, c</w:t>
      </w:r>
      <w:r>
        <w:rPr>
          <w:sz w:val="18"/>
          <w:szCs w:val="18"/>
        </w:rPr>
        <w:t>reat de Vlad Nancă și Muromuro Studio (Ioana Chifu, Onar Stănescu) și curatoriat de Cosmina Goagea. Expoziția de la Pavilionul României din Giardini della Biennale este o instalație care îndeamnă la reflecție asupra intersecției artelor vizuale cu arhitectura, printr-un dialog între desenele arhitecților români din secolul al XX-lea și opera artistului Vlad Nancă. Pavilionul României din Giardini della Biennale și Noua Galerie a Institutului Român de Cultură și Cercetare Umanistică din Veneția vor oferi acces vizitatorilor la o colecție impresionantă de hărți istorice și desene de arhitectură semnate de arhitecți români cunoscuți, moderni și contemporani.</w:t>
      </w:r>
    </w:p>
    <w:p w14:paraId="72A806C0" w14:textId="68B5EB0D" w:rsidR="00E262A5" w:rsidRDefault="00E262A5">
      <w:pPr>
        <w:jc w:val="both"/>
        <w:rPr>
          <w:sz w:val="18"/>
          <w:szCs w:val="18"/>
        </w:rPr>
      </w:pPr>
    </w:p>
    <w:p w14:paraId="3317E4AB" w14:textId="77777777" w:rsidR="00E262A5" w:rsidRDefault="00DF5223">
      <w:pPr>
        <w:jc w:val="both"/>
        <w:rPr>
          <w:sz w:val="18"/>
          <w:szCs w:val="18"/>
        </w:rPr>
      </w:pPr>
      <w:r>
        <w:rPr>
          <w:b/>
          <w:sz w:val="18"/>
          <w:szCs w:val="18"/>
        </w:rPr>
        <w:t>Attila Kim</w:t>
      </w:r>
      <w:r>
        <w:rPr>
          <w:sz w:val="18"/>
          <w:szCs w:val="18"/>
        </w:rPr>
        <w:t>, Comisarul României pentru Bienala de Arhitectură de la Veneția, a declarat: „În ultimele două decenii, Bienala de Arhitectură de la Veneția se redefinește, este într-un continuu proces de căutare pentru a oferi noi abordări interdisciplinare, devenind astfel un laborator viu și dinamic unde simultan: se analizează trecutul, se pune accentul pe adaptarea la condițiile neașteptate din prezent, se dezbat și se construiesc noi strategii de viitor.”</w:t>
      </w:r>
    </w:p>
    <w:p w14:paraId="36AC43C5" w14:textId="77777777" w:rsidR="00E262A5" w:rsidRDefault="00E262A5">
      <w:pPr>
        <w:jc w:val="both"/>
        <w:rPr>
          <w:sz w:val="18"/>
          <w:szCs w:val="18"/>
        </w:rPr>
      </w:pPr>
    </w:p>
    <w:p w14:paraId="09B0B9A2" w14:textId="77777777" w:rsidR="00E262A5" w:rsidRDefault="00DF5223">
      <w:pPr>
        <w:jc w:val="both"/>
        <w:rPr>
          <w:sz w:val="18"/>
          <w:szCs w:val="18"/>
        </w:rPr>
      </w:pPr>
      <w:r>
        <w:rPr>
          <w:i/>
          <w:sz w:val="18"/>
          <w:szCs w:val="18"/>
        </w:rPr>
        <w:t>„</w:t>
      </w:r>
      <w:r>
        <w:rPr>
          <w:sz w:val="18"/>
          <w:szCs w:val="18"/>
        </w:rPr>
        <w:t>Intelligens. Natural. Artificial. Collective</w:t>
      </w:r>
      <w:r>
        <w:rPr>
          <w:b/>
          <w:sz w:val="18"/>
          <w:szCs w:val="18"/>
        </w:rPr>
        <w:t>”</w:t>
      </w:r>
      <w:r>
        <w:rPr>
          <w:i/>
          <w:sz w:val="18"/>
          <w:szCs w:val="18"/>
        </w:rPr>
        <w:t xml:space="preserve">, </w:t>
      </w:r>
      <w:r>
        <w:rPr>
          <w:sz w:val="18"/>
          <w:szCs w:val="18"/>
        </w:rPr>
        <w:t xml:space="preserve">tema ediției din acest an a Expoziției Internaționale de Arhitectură - </w:t>
      </w:r>
      <w:r>
        <w:rPr>
          <w:i/>
          <w:sz w:val="18"/>
          <w:szCs w:val="18"/>
        </w:rPr>
        <w:t>la Biennale di Venezia</w:t>
      </w:r>
      <w:r>
        <w:rPr>
          <w:sz w:val="18"/>
          <w:szCs w:val="18"/>
        </w:rPr>
        <w:t>, propusă de curatorul Carlo Ratti, explorează soluții inteligente pentru crizele momentului dintr-o perspectivă transdisciplinară. Termenul „intelligens” derivă din latină, făcând referire atât la „inteligență”, cât și la „gens” (oameni). Bienala se va concentra asupra mediului construit și a interacțiunii acestuia cu discipline diverse, precum arhitectura, științele naturale, ingineria, arta, biologia, științele politice și sociale, transdisciplinaritatea fiind unul dintre pilonii metodologici ai ediției, alături de schimbul de bune practici, experimentul validat colaborativ și dialogul între generații de profesioniști. Fiecare țară este invitată să contribuie cu o abordare specifică și ancorată local, cu potențial de replicare sau scalare globală.</w:t>
      </w:r>
    </w:p>
    <w:p w14:paraId="5BCE1FE4" w14:textId="77777777" w:rsidR="00E262A5" w:rsidRPr="00004D03" w:rsidRDefault="00E262A5">
      <w:pPr>
        <w:jc w:val="both"/>
        <w:rPr>
          <w:sz w:val="18"/>
          <w:szCs w:val="18"/>
        </w:rPr>
      </w:pPr>
    </w:p>
    <w:p w14:paraId="0DAA55D5" w14:textId="77777777" w:rsidR="00E262A5" w:rsidRDefault="00DF5223">
      <w:pPr>
        <w:jc w:val="both"/>
        <w:rPr>
          <w:sz w:val="18"/>
          <w:szCs w:val="18"/>
          <w:highlight w:val="white"/>
        </w:rPr>
      </w:pPr>
      <w:r>
        <w:rPr>
          <w:sz w:val="18"/>
          <w:szCs w:val="18"/>
        </w:rPr>
        <w:t xml:space="preserve">Președintele Institutului Cultural Român, </w:t>
      </w:r>
      <w:r>
        <w:rPr>
          <w:b/>
          <w:sz w:val="18"/>
          <w:szCs w:val="18"/>
        </w:rPr>
        <w:t>Liviu Jicman</w:t>
      </w:r>
      <w:r>
        <w:rPr>
          <w:sz w:val="18"/>
          <w:szCs w:val="18"/>
        </w:rPr>
        <w:t xml:space="preserve">, a subliniat: </w:t>
      </w:r>
      <w:r>
        <w:rPr>
          <w:sz w:val="19"/>
          <w:szCs w:val="19"/>
        </w:rPr>
        <w:t>„</w:t>
      </w:r>
      <w:r>
        <w:rPr>
          <w:sz w:val="18"/>
          <w:szCs w:val="18"/>
          <w:highlight w:val="white"/>
        </w:rPr>
        <w:t xml:space="preserve">Mă bucur că interdisciplinaritatea, una dintre liniile directoare ale Strategiei ICR 2022-2026, se regăsește atât în conceptul, cât și în realizarea proiectului </w:t>
      </w:r>
      <w:r>
        <w:rPr>
          <w:sz w:val="19"/>
          <w:szCs w:val="19"/>
        </w:rPr>
        <w:t>„</w:t>
      </w:r>
      <w:r>
        <w:rPr>
          <w:sz w:val="18"/>
          <w:szCs w:val="18"/>
          <w:highlight w:val="white"/>
        </w:rPr>
        <w:t>Human Scale</w:t>
      </w:r>
      <w:r>
        <w:rPr>
          <w:sz w:val="18"/>
          <w:szCs w:val="18"/>
        </w:rPr>
        <w:t>”</w:t>
      </w:r>
      <w:r>
        <w:rPr>
          <w:sz w:val="18"/>
          <w:szCs w:val="18"/>
          <w:highlight w:val="white"/>
        </w:rPr>
        <w:t>, selectat de juriul internațional pentru a reprezenta România la Bienala de Arhitectură de la Veneția 2025. Într-o lume în care granițele dintre natural și artificial, individual și colectiv sunt redefinite, arhitectura devine un spațiu de dialog între tehnologie, mediu și comunitate. Proiectul nostru promovează această colaborare între discipline și propune o perspectivă inovatoare asupra culturii. Suntem mândri să aducem în prim-plan un ecosistem în care omul se află în echilibru cu mediul său construit și natural.</w:t>
      </w:r>
      <w:r>
        <w:rPr>
          <w:sz w:val="18"/>
          <w:szCs w:val="18"/>
        </w:rPr>
        <w:t>”</w:t>
      </w:r>
    </w:p>
    <w:p w14:paraId="5AAB8459" w14:textId="77777777" w:rsidR="00E262A5" w:rsidRDefault="00E262A5">
      <w:pPr>
        <w:jc w:val="both"/>
        <w:rPr>
          <w:sz w:val="18"/>
          <w:szCs w:val="18"/>
        </w:rPr>
      </w:pPr>
    </w:p>
    <w:p w14:paraId="01013E7A" w14:textId="77777777" w:rsidR="00E262A5" w:rsidRDefault="00DF5223">
      <w:pPr>
        <w:jc w:val="both"/>
        <w:rPr>
          <w:sz w:val="18"/>
          <w:szCs w:val="18"/>
        </w:rPr>
      </w:pPr>
      <w:r>
        <w:rPr>
          <w:sz w:val="18"/>
          <w:szCs w:val="18"/>
        </w:rPr>
        <w:t xml:space="preserve">În cadrul întâlnirii cu presa, instituțiile și partenerii, a avut loc ceremonia de decernare de către Uniunea Arhitecților din România a premiilor pentru proiectele clasate pe primele trei locuri la Concursul național pentru selectarea proiectului care va reprezenta România la cea de-a 19-a ediție a Expoziției Internaționale de Arhitectură – </w:t>
      </w:r>
      <w:r>
        <w:rPr>
          <w:i/>
          <w:sz w:val="18"/>
          <w:szCs w:val="18"/>
        </w:rPr>
        <w:t>la Biennale di Venezia</w:t>
      </w:r>
      <w:r>
        <w:rPr>
          <w:sz w:val="18"/>
          <w:szCs w:val="18"/>
        </w:rPr>
        <w:t>. Premiul I, pentru proiectul câștigător, în valoare de 6500 lei, a revenit proiectului „Human Scale”. Proiectul care a obținut locul al doilea, „Landscapes of Care with Wild Flowers”, a fost premiat cu 4500 lei, iar premiul III, în valoare de 3500 lei, a fost acordat proiectului „New Heritage”. Proiectele participante au fost prezentate, cu această ocazie, într-o expoziție găzduită în Sala Mare a Institutului Cultural Român.</w:t>
      </w:r>
      <w:r>
        <w:rPr>
          <w:b/>
          <w:sz w:val="18"/>
          <w:szCs w:val="18"/>
        </w:rPr>
        <w:t xml:space="preserve"> Ileana Tureanu</w:t>
      </w:r>
      <w:r>
        <w:rPr>
          <w:sz w:val="18"/>
          <w:szCs w:val="18"/>
        </w:rPr>
        <w:t xml:space="preserve">, Președintele Uniunii Arhitecților din România, a oferit detalii despre componența internațională a juriului și le-a mulțumit tuturor participanților la concursul național: „Toate cele douăzeci și cinci de echipe participante au făcut un efort extraordinar, au reușit într-un timp record să prezinte proiecte valoroase”.  </w:t>
      </w:r>
    </w:p>
    <w:p w14:paraId="27C67044" w14:textId="77777777" w:rsidR="00E262A5" w:rsidRDefault="00E262A5">
      <w:pPr>
        <w:jc w:val="both"/>
        <w:rPr>
          <w:sz w:val="18"/>
          <w:szCs w:val="18"/>
        </w:rPr>
      </w:pPr>
    </w:p>
    <w:p w14:paraId="02CD9F0C" w14:textId="77777777" w:rsidR="00E262A5" w:rsidRPr="00004D03" w:rsidRDefault="00DF5223">
      <w:pPr>
        <w:jc w:val="both"/>
        <w:rPr>
          <w:sz w:val="18"/>
          <w:szCs w:val="18"/>
        </w:rPr>
      </w:pPr>
      <w:r>
        <w:rPr>
          <w:sz w:val="18"/>
          <w:szCs w:val="18"/>
        </w:rPr>
        <w:t xml:space="preserve">Bienala de Arhitectură de la Veneția este un eveniment internațional de prestigiu ce ilustrează un dialog cultural de mare amploare între țările lumii. Ediția din 2025 a Bienalei de Arhitectură de la Veneția se va desfășura în perioada 10 mai – 23 noiembrie 2025, cu previzionare pentru specialiști și presă în zilele de 8 şi 9 mai 2025. Organizatorii participării României la cea de-a 19-a ediție a Expoziției Internaționale de Arhitectură – </w:t>
      </w:r>
      <w:r>
        <w:rPr>
          <w:i/>
          <w:sz w:val="18"/>
          <w:szCs w:val="18"/>
        </w:rPr>
        <w:t xml:space="preserve">la Biennale di Venezia </w:t>
      </w:r>
      <w:r>
        <w:rPr>
          <w:sz w:val="18"/>
          <w:szCs w:val="18"/>
        </w:rPr>
        <w:t>sunt: Ministerul Culturii, Ministerul Afacerilor Externe, Institutul Cultural Român și Uniunea Arhitecților din România.</w:t>
      </w:r>
    </w:p>
    <w:p w14:paraId="255B5322" w14:textId="77777777" w:rsidR="00E262A5" w:rsidRDefault="00E262A5">
      <w:pPr>
        <w:jc w:val="both"/>
        <w:rPr>
          <w:sz w:val="18"/>
          <w:szCs w:val="18"/>
        </w:rPr>
      </w:pPr>
    </w:p>
    <w:p w14:paraId="3B91114A" w14:textId="77777777" w:rsidR="00E262A5" w:rsidRDefault="00DF5223">
      <w:pPr>
        <w:jc w:val="both"/>
        <w:rPr>
          <w:sz w:val="18"/>
          <w:szCs w:val="18"/>
        </w:rPr>
      </w:pPr>
      <w:r>
        <w:rPr>
          <w:b/>
          <w:sz w:val="18"/>
          <w:szCs w:val="18"/>
        </w:rPr>
        <w:t>Diana Baciuna</w:t>
      </w:r>
      <w:r>
        <w:rPr>
          <w:sz w:val="18"/>
          <w:szCs w:val="18"/>
        </w:rPr>
        <w:t>, Secretar de stat în Ministerul Culturii, a scos în evidență cum „în 2023, Pavilionul României a fost vizitat de peste 140.000 de participanți la Bienală, confirmând impactul semnificativ al prezenței României și excelența proiectelor sale arhitecturale. Această vizibilitate remarcabilă reflectă vitalitatea și profunzimea culturii noastre arhitecturale, evidențiind creativitatea și profesionalismul arhitecților români. Sunt convinsă că ediția din acest an va consolida și mai mult această recunoaștere internațională prin proiectul „Human Scale”, care explorează relația dintre arhitectură, spațiu și experiența umană. Prezentând lucrările unor arhitecți români din secolul XX alături de creațiile artistului Vlad Nancă, proiectul aduce în prim-plan dialogul dintre istorie și contemporaneitate, evidențiind profunzimea și diversitatea arhitecturii românești.”.</w:t>
      </w:r>
    </w:p>
    <w:p w14:paraId="4751131F" w14:textId="77777777" w:rsidR="00E262A5" w:rsidRDefault="00E262A5">
      <w:pPr>
        <w:jc w:val="both"/>
        <w:rPr>
          <w:sz w:val="18"/>
          <w:szCs w:val="18"/>
        </w:rPr>
      </w:pPr>
    </w:p>
    <w:p w14:paraId="0C575625" w14:textId="77777777" w:rsidR="00E262A5" w:rsidRDefault="00DF5223">
      <w:pPr>
        <w:jc w:val="both"/>
        <w:rPr>
          <w:sz w:val="18"/>
          <w:szCs w:val="18"/>
        </w:rPr>
      </w:pPr>
      <w:r>
        <w:rPr>
          <w:sz w:val="18"/>
          <w:szCs w:val="18"/>
        </w:rPr>
        <w:t xml:space="preserve">Potrivit curatoarei </w:t>
      </w:r>
      <w:r>
        <w:rPr>
          <w:b/>
          <w:sz w:val="18"/>
          <w:szCs w:val="18"/>
        </w:rPr>
        <w:t>Cosmina Goagea</w:t>
      </w:r>
      <w:r>
        <w:rPr>
          <w:sz w:val="18"/>
          <w:szCs w:val="18"/>
        </w:rPr>
        <w:t>: „Întrebarea pe care ne-o pune Carlo Ratti, curatorul din acest an al Bienalei, este: unde ne putem găsi resursele de inspirație, de cunoaștere și criteriile pentru practica profesională, regândind felul în care proiectăm pentru o lume alterată? Plecând de la cercetarea artistică a lui Vlad Nancă, expoziția  „Human Scale”  propune un răspuns care privește componenta de Inteligență colectivă - și anume cum putem revizita critic arhitectura secolului al XX-lea, văzută prin prisma desenelor de arhitectură. Astfel, am ajuns să analizăm de fapt multitudinea de relații complexe dintre arhitectură și contextul ei, adică urbanitatea. Uitându-ne la oamenii din desene, înțelegem de fapt mai bine, prin ricoșeu, tocmai arhitectura și valențele spațiului public, așa cum apăreau ele în intențiile și intuițiile arhitecților.”</w:t>
      </w:r>
    </w:p>
    <w:p w14:paraId="0D9080AB" w14:textId="77777777" w:rsidR="00E262A5" w:rsidRDefault="00E262A5">
      <w:pPr>
        <w:jc w:val="both"/>
        <w:rPr>
          <w:sz w:val="18"/>
          <w:szCs w:val="18"/>
        </w:rPr>
      </w:pPr>
    </w:p>
    <w:p w14:paraId="7BA4CE93" w14:textId="77777777" w:rsidR="00E262A5" w:rsidRDefault="00DF5223">
      <w:pPr>
        <w:pBdr>
          <w:top w:val="nil"/>
          <w:left w:val="nil"/>
          <w:bottom w:val="nil"/>
          <w:right w:val="nil"/>
          <w:between w:val="nil"/>
        </w:pBdr>
        <w:jc w:val="both"/>
        <w:rPr>
          <w:sz w:val="19"/>
          <w:szCs w:val="19"/>
        </w:rPr>
      </w:pPr>
      <w:r>
        <w:rPr>
          <w:b/>
          <w:sz w:val="18"/>
          <w:szCs w:val="18"/>
        </w:rPr>
        <w:t>Andrei Novac</w:t>
      </w:r>
      <w:r>
        <w:rPr>
          <w:sz w:val="18"/>
          <w:szCs w:val="18"/>
        </w:rPr>
        <w:t>, Secretar de stat în Ministerul Afacerilor Externe, a declarat: „Doar printr-o colaborare strânsă, printr-o viziune comună și printr-un angajament ferm putem transforma participarea din acest an într-o declarație puternică despre România. Haideți să fim cu toții ambasadorii României în acest proiect! Să construim împreună nu doar o expoziție la Veneția, ci o prezență puternică, o imagine durabilă, o poveste autentică despre ceea ce putem oferi lumii.” Cu această ocazie, domnul Andrei Novac a punctat determinarea Ministerului Afacerilor Externe de a aduce Pavilionul României la standardele prezentului, prin finalizarea, în cursul anului viitor, a lucrărilor de amenajare deja începute.</w:t>
      </w:r>
    </w:p>
    <w:p w14:paraId="7C95CEEA" w14:textId="77777777" w:rsidR="00E262A5" w:rsidRDefault="00E262A5">
      <w:pPr>
        <w:jc w:val="both"/>
        <w:rPr>
          <w:sz w:val="18"/>
          <w:szCs w:val="18"/>
        </w:rPr>
      </w:pPr>
    </w:p>
    <w:p w14:paraId="1A2FEE68" w14:textId="77777777" w:rsidR="00E262A5" w:rsidRDefault="00DF5223">
      <w:pPr>
        <w:jc w:val="both"/>
        <w:rPr>
          <w:sz w:val="18"/>
          <w:szCs w:val="18"/>
        </w:rPr>
      </w:pPr>
      <w:r>
        <w:rPr>
          <w:sz w:val="18"/>
          <w:szCs w:val="18"/>
        </w:rPr>
        <w:t>Pe parcursul Bienalei (10 mai - 23 noiembrie 2025), „Human Scale”</w:t>
      </w:r>
      <w:r>
        <w:rPr>
          <w:i/>
          <w:sz w:val="18"/>
          <w:szCs w:val="18"/>
        </w:rPr>
        <w:t xml:space="preserve"> </w:t>
      </w:r>
      <w:r>
        <w:rPr>
          <w:sz w:val="18"/>
          <w:szCs w:val="18"/>
        </w:rPr>
        <w:t>propune un consistent program educațional și de mediere culturală, care va include stagii profesionale pentru studenți români care vor avea rolul de custozi ai expoziției de la Veneția. În plus, un proiect educațional desfășurat în România va explora documentarea desenului de arhitectură, care reprezintă fundamentul conceptual al expoziției. Pentru a extinde audiențele naționale și internaționale va fi publicat un catalog, ce va include atât lucrările expuse, cât și documentarea exhaustivă realizată în cadrul proiectului. O serie de conferințe și dezbateri organizate în România și la Veneția vor dezvolta dialogul inițiat în urma cercetării care stă la baza proiectului.</w:t>
      </w:r>
    </w:p>
    <w:p w14:paraId="3BD9C7F3" w14:textId="77777777" w:rsidR="00E262A5" w:rsidRDefault="00E262A5">
      <w:pPr>
        <w:rPr>
          <w:sz w:val="18"/>
          <w:szCs w:val="18"/>
        </w:rPr>
      </w:pPr>
    </w:p>
    <w:p w14:paraId="78A6970C" w14:textId="77777777" w:rsidR="00CB59C8" w:rsidRDefault="00CB59C8">
      <w:pPr>
        <w:rPr>
          <w:sz w:val="18"/>
          <w:szCs w:val="18"/>
        </w:rPr>
      </w:pPr>
    </w:p>
    <w:p w14:paraId="00EA29E5" w14:textId="77777777" w:rsidR="00CB59C8" w:rsidRDefault="00CB59C8">
      <w:pPr>
        <w:rPr>
          <w:sz w:val="18"/>
          <w:szCs w:val="18"/>
        </w:rPr>
      </w:pPr>
    </w:p>
    <w:p w14:paraId="2CD889A6" w14:textId="77777777" w:rsidR="00E262A5" w:rsidRDefault="00DF5223">
      <w:pPr>
        <w:rPr>
          <w:sz w:val="18"/>
          <w:szCs w:val="18"/>
        </w:rPr>
      </w:pPr>
      <w:r>
        <w:rPr>
          <w:sz w:val="18"/>
          <w:szCs w:val="18"/>
        </w:rPr>
        <w:t>_______________________</w:t>
      </w:r>
    </w:p>
    <w:p w14:paraId="0A256D04" w14:textId="77777777" w:rsidR="00E262A5" w:rsidRDefault="00E262A5">
      <w:pPr>
        <w:rPr>
          <w:sz w:val="18"/>
          <w:szCs w:val="18"/>
        </w:rPr>
      </w:pPr>
    </w:p>
    <w:p w14:paraId="58D3DF69" w14:textId="77777777" w:rsidR="00E262A5" w:rsidRDefault="00DF5223">
      <w:pPr>
        <w:rPr>
          <w:b/>
          <w:sz w:val="18"/>
          <w:szCs w:val="18"/>
        </w:rPr>
      </w:pPr>
      <w:r>
        <w:rPr>
          <w:b/>
          <w:sz w:val="18"/>
          <w:szCs w:val="18"/>
        </w:rPr>
        <w:t>Human Scale</w:t>
      </w:r>
    </w:p>
    <w:p w14:paraId="532E9862" w14:textId="77777777" w:rsidR="00E262A5" w:rsidRDefault="00DF5223">
      <w:pPr>
        <w:rPr>
          <w:b/>
          <w:sz w:val="18"/>
          <w:szCs w:val="18"/>
        </w:rPr>
      </w:pPr>
      <w:r>
        <w:rPr>
          <w:b/>
          <w:sz w:val="18"/>
          <w:szCs w:val="18"/>
        </w:rPr>
        <w:t>Vlad Nancă &amp; Muromuro Studio (Ioana Chifu, Onar Stănescu)</w:t>
      </w:r>
    </w:p>
    <w:p w14:paraId="3D98CE41" w14:textId="77777777" w:rsidR="00E262A5" w:rsidRDefault="00E262A5">
      <w:pPr>
        <w:rPr>
          <w:sz w:val="18"/>
          <w:szCs w:val="18"/>
        </w:rPr>
      </w:pPr>
    </w:p>
    <w:p w14:paraId="2A2D679C" w14:textId="77777777" w:rsidR="00E262A5" w:rsidRDefault="00DF5223">
      <w:pPr>
        <w:rPr>
          <w:b/>
          <w:sz w:val="18"/>
          <w:szCs w:val="18"/>
        </w:rPr>
      </w:pPr>
      <w:r>
        <w:rPr>
          <w:b/>
          <w:sz w:val="18"/>
          <w:szCs w:val="18"/>
        </w:rPr>
        <w:t>Curatoare</w:t>
      </w:r>
    </w:p>
    <w:p w14:paraId="2AEC96E7" w14:textId="77777777" w:rsidR="00E262A5" w:rsidRDefault="00DF5223">
      <w:pPr>
        <w:rPr>
          <w:sz w:val="18"/>
          <w:szCs w:val="18"/>
        </w:rPr>
      </w:pPr>
      <w:r>
        <w:rPr>
          <w:sz w:val="18"/>
          <w:szCs w:val="18"/>
        </w:rPr>
        <w:t>Cosmina Goagea</w:t>
      </w:r>
    </w:p>
    <w:p w14:paraId="5165DD7B" w14:textId="77777777" w:rsidR="00E262A5" w:rsidRDefault="00E262A5">
      <w:pPr>
        <w:rPr>
          <w:sz w:val="18"/>
          <w:szCs w:val="18"/>
        </w:rPr>
      </w:pPr>
    </w:p>
    <w:p w14:paraId="4BEE8F0D" w14:textId="77777777" w:rsidR="00E262A5" w:rsidRDefault="00DF5223">
      <w:pPr>
        <w:rPr>
          <w:b/>
          <w:sz w:val="18"/>
          <w:szCs w:val="18"/>
        </w:rPr>
      </w:pPr>
      <w:r>
        <w:rPr>
          <w:b/>
          <w:sz w:val="18"/>
          <w:szCs w:val="18"/>
        </w:rPr>
        <w:t>Comisar</w:t>
      </w:r>
    </w:p>
    <w:p w14:paraId="19F2B79F" w14:textId="77777777" w:rsidR="00E262A5" w:rsidRDefault="00DF5223">
      <w:pPr>
        <w:rPr>
          <w:sz w:val="18"/>
          <w:szCs w:val="18"/>
        </w:rPr>
      </w:pPr>
      <w:r>
        <w:rPr>
          <w:sz w:val="18"/>
          <w:szCs w:val="18"/>
        </w:rPr>
        <w:t>Attila Kim</w:t>
      </w:r>
    </w:p>
    <w:p w14:paraId="0F7B16B2" w14:textId="77777777" w:rsidR="00E262A5" w:rsidRDefault="00E262A5">
      <w:pPr>
        <w:rPr>
          <w:sz w:val="18"/>
          <w:szCs w:val="18"/>
        </w:rPr>
      </w:pPr>
    </w:p>
    <w:p w14:paraId="00226C88" w14:textId="77777777" w:rsidR="00E262A5" w:rsidRDefault="00DF5223">
      <w:pPr>
        <w:rPr>
          <w:sz w:val="18"/>
          <w:szCs w:val="18"/>
        </w:rPr>
      </w:pPr>
      <w:r>
        <w:rPr>
          <w:b/>
          <w:sz w:val="18"/>
          <w:szCs w:val="18"/>
        </w:rPr>
        <w:t>Echipă</w:t>
      </w:r>
    </w:p>
    <w:p w14:paraId="43AA43EB" w14:textId="77777777" w:rsidR="00E262A5" w:rsidRDefault="00E262A5">
      <w:pPr>
        <w:rPr>
          <w:sz w:val="18"/>
          <w:szCs w:val="18"/>
        </w:rPr>
        <w:sectPr w:rsidR="00E262A5">
          <w:headerReference w:type="default" r:id="rId6"/>
          <w:pgSz w:w="11909" w:h="16834"/>
          <w:pgMar w:top="1440" w:right="1380" w:bottom="1185" w:left="1440" w:header="720" w:footer="720" w:gutter="0"/>
          <w:pgNumType w:start="1"/>
          <w:cols w:space="720"/>
        </w:sectPr>
      </w:pPr>
    </w:p>
    <w:p w14:paraId="75FC7625" w14:textId="77777777" w:rsidR="00E262A5" w:rsidRDefault="00DF5223">
      <w:pPr>
        <w:rPr>
          <w:sz w:val="18"/>
          <w:szCs w:val="18"/>
        </w:rPr>
      </w:pPr>
      <w:r>
        <w:rPr>
          <w:sz w:val="18"/>
          <w:szCs w:val="18"/>
        </w:rPr>
        <w:t>Coordonatoare proiect: Corina Bucea</w:t>
      </w:r>
    </w:p>
    <w:p w14:paraId="714D679E" w14:textId="77777777" w:rsidR="00E262A5" w:rsidRDefault="00DF5223">
      <w:pPr>
        <w:rPr>
          <w:sz w:val="18"/>
          <w:szCs w:val="18"/>
        </w:rPr>
      </w:pPr>
      <w:r>
        <w:rPr>
          <w:sz w:val="18"/>
          <w:szCs w:val="18"/>
        </w:rPr>
        <w:t>Producătoare executivă: Ana Ciobanu</w:t>
      </w:r>
    </w:p>
    <w:p w14:paraId="418D141B" w14:textId="77777777" w:rsidR="00E262A5" w:rsidRDefault="00DF5223">
      <w:pPr>
        <w:rPr>
          <w:sz w:val="18"/>
          <w:szCs w:val="18"/>
        </w:rPr>
      </w:pPr>
      <w:r>
        <w:rPr>
          <w:sz w:val="18"/>
          <w:szCs w:val="18"/>
        </w:rPr>
        <w:t>Coordonatoare finanțări strategice: Suzana Vasilescu</w:t>
      </w:r>
    </w:p>
    <w:p w14:paraId="5C492573" w14:textId="77777777" w:rsidR="00E262A5" w:rsidRDefault="00DF5223">
      <w:pPr>
        <w:rPr>
          <w:sz w:val="18"/>
          <w:szCs w:val="18"/>
        </w:rPr>
      </w:pPr>
      <w:r>
        <w:rPr>
          <w:sz w:val="18"/>
          <w:szCs w:val="18"/>
        </w:rPr>
        <w:t>Art director: Otilia Fiastru</w:t>
      </w:r>
    </w:p>
    <w:p w14:paraId="7D2E9E37" w14:textId="77777777" w:rsidR="00E262A5" w:rsidRDefault="00DF5223">
      <w:pPr>
        <w:rPr>
          <w:sz w:val="18"/>
          <w:szCs w:val="18"/>
        </w:rPr>
      </w:pPr>
      <w:r>
        <w:rPr>
          <w:sz w:val="18"/>
          <w:szCs w:val="18"/>
        </w:rPr>
        <w:t>Comunicare: Vlad Tăușance</w:t>
      </w:r>
    </w:p>
    <w:p w14:paraId="0078A456" w14:textId="77777777" w:rsidR="00E262A5" w:rsidRDefault="00DF5223">
      <w:pPr>
        <w:rPr>
          <w:sz w:val="18"/>
          <w:szCs w:val="18"/>
        </w:rPr>
      </w:pPr>
      <w:r>
        <w:rPr>
          <w:sz w:val="18"/>
          <w:szCs w:val="18"/>
        </w:rPr>
        <w:t>PR: Simona Rădoi</w:t>
      </w:r>
    </w:p>
    <w:p w14:paraId="2F453090" w14:textId="77777777" w:rsidR="00E262A5" w:rsidRDefault="00DF5223">
      <w:pPr>
        <w:rPr>
          <w:sz w:val="18"/>
          <w:szCs w:val="18"/>
        </w:rPr>
      </w:pPr>
      <w:r>
        <w:rPr>
          <w:sz w:val="18"/>
          <w:szCs w:val="18"/>
        </w:rPr>
        <w:t>Social media: Andreea Ilie</w:t>
      </w:r>
    </w:p>
    <w:p w14:paraId="0C64DC6F" w14:textId="77777777" w:rsidR="00E262A5" w:rsidRDefault="00DF5223">
      <w:pPr>
        <w:rPr>
          <w:sz w:val="18"/>
          <w:szCs w:val="18"/>
        </w:rPr>
      </w:pPr>
      <w:r>
        <w:rPr>
          <w:sz w:val="18"/>
          <w:szCs w:val="18"/>
        </w:rPr>
        <w:t>Archviz: bucharest.studio</w:t>
      </w:r>
    </w:p>
    <w:p w14:paraId="14693E52" w14:textId="77777777" w:rsidR="00E262A5" w:rsidRDefault="00DF5223">
      <w:pPr>
        <w:rPr>
          <w:sz w:val="18"/>
          <w:szCs w:val="18"/>
        </w:rPr>
      </w:pPr>
      <w:r>
        <w:rPr>
          <w:sz w:val="18"/>
          <w:szCs w:val="18"/>
        </w:rPr>
        <w:t>Asistentă producție: Arina Lazăr</w:t>
      </w:r>
    </w:p>
    <w:p w14:paraId="24887D29" w14:textId="77777777" w:rsidR="00E262A5" w:rsidRDefault="00DF5223">
      <w:pPr>
        <w:rPr>
          <w:sz w:val="18"/>
          <w:szCs w:val="18"/>
        </w:rPr>
      </w:pPr>
      <w:r>
        <w:rPr>
          <w:sz w:val="18"/>
          <w:szCs w:val="18"/>
        </w:rPr>
        <w:t>Dezvoltare website: Bureau Castel</w:t>
      </w:r>
    </w:p>
    <w:p w14:paraId="233653EB" w14:textId="77777777" w:rsidR="00E262A5" w:rsidRDefault="00DF5223">
      <w:pPr>
        <w:rPr>
          <w:sz w:val="18"/>
          <w:szCs w:val="18"/>
        </w:rPr>
      </w:pPr>
      <w:r>
        <w:rPr>
          <w:sz w:val="18"/>
          <w:szCs w:val="18"/>
        </w:rPr>
        <w:t>Coordonatoare custozi: Tatiana Moise</w:t>
      </w:r>
    </w:p>
    <w:p w14:paraId="763E1B2C" w14:textId="77777777" w:rsidR="00E262A5" w:rsidRDefault="00DF5223">
      <w:pPr>
        <w:rPr>
          <w:sz w:val="18"/>
          <w:szCs w:val="18"/>
        </w:rPr>
      </w:pPr>
      <w:r>
        <w:rPr>
          <w:sz w:val="18"/>
          <w:szCs w:val="18"/>
        </w:rPr>
        <w:t xml:space="preserve">Asistență documentare: Andreea Ilie, </w:t>
      </w:r>
    </w:p>
    <w:p w14:paraId="47A56367" w14:textId="77777777" w:rsidR="00E262A5" w:rsidRDefault="00DF5223">
      <w:pPr>
        <w:rPr>
          <w:sz w:val="18"/>
          <w:szCs w:val="18"/>
        </w:rPr>
        <w:sectPr w:rsidR="00E262A5">
          <w:type w:val="continuous"/>
          <w:pgSz w:w="11909" w:h="16834"/>
          <w:pgMar w:top="1440" w:right="1380" w:bottom="1440" w:left="1440" w:header="720" w:footer="720" w:gutter="0"/>
          <w:cols w:num="2" w:space="720" w:equalWidth="0">
            <w:col w:w="4182" w:space="720"/>
            <w:col w:w="4182" w:space="0"/>
          </w:cols>
        </w:sectPr>
      </w:pPr>
      <w:r>
        <w:rPr>
          <w:sz w:val="18"/>
          <w:szCs w:val="18"/>
        </w:rPr>
        <w:t>Alexandra Statache</w:t>
      </w:r>
    </w:p>
    <w:p w14:paraId="2EE344C1" w14:textId="77777777" w:rsidR="00E262A5" w:rsidRDefault="00E262A5">
      <w:pPr>
        <w:rPr>
          <w:sz w:val="18"/>
          <w:szCs w:val="18"/>
        </w:rPr>
      </w:pPr>
    </w:p>
    <w:p w14:paraId="5FD16DE3" w14:textId="77777777" w:rsidR="00E262A5" w:rsidRDefault="00E262A5">
      <w:pPr>
        <w:rPr>
          <w:b/>
          <w:sz w:val="18"/>
          <w:szCs w:val="18"/>
        </w:rPr>
        <w:sectPr w:rsidR="00E262A5">
          <w:type w:val="continuous"/>
          <w:pgSz w:w="11909" w:h="16834"/>
          <w:pgMar w:top="1440" w:right="1380" w:bottom="1440" w:left="1440" w:header="720" w:footer="720" w:gutter="0"/>
          <w:cols w:space="720"/>
        </w:sectPr>
      </w:pPr>
    </w:p>
    <w:p w14:paraId="00718C23" w14:textId="77777777" w:rsidR="00E262A5" w:rsidRDefault="00DF5223">
      <w:pPr>
        <w:rPr>
          <w:b/>
          <w:sz w:val="18"/>
          <w:szCs w:val="18"/>
        </w:rPr>
      </w:pPr>
      <w:r>
        <w:rPr>
          <w:b/>
          <w:sz w:val="18"/>
          <w:szCs w:val="18"/>
        </w:rPr>
        <w:lastRenderedPageBreak/>
        <w:t xml:space="preserve">Organizatori: </w:t>
      </w:r>
    </w:p>
    <w:p w14:paraId="1F19D90F" w14:textId="77777777" w:rsidR="00E262A5" w:rsidRDefault="00DF5223">
      <w:pPr>
        <w:rPr>
          <w:sz w:val="18"/>
          <w:szCs w:val="18"/>
        </w:rPr>
      </w:pPr>
      <w:r>
        <w:rPr>
          <w:sz w:val="18"/>
          <w:szCs w:val="18"/>
        </w:rPr>
        <w:t xml:space="preserve">Ministerul Culturii </w:t>
      </w:r>
    </w:p>
    <w:p w14:paraId="3DA8CCB9" w14:textId="77777777" w:rsidR="00E262A5" w:rsidRDefault="00DF5223">
      <w:pPr>
        <w:rPr>
          <w:sz w:val="18"/>
          <w:szCs w:val="18"/>
        </w:rPr>
      </w:pPr>
      <w:r>
        <w:rPr>
          <w:sz w:val="18"/>
          <w:szCs w:val="18"/>
        </w:rPr>
        <w:t>Ministerul Afacerilor Externe</w:t>
      </w:r>
    </w:p>
    <w:p w14:paraId="0FC2A3FF" w14:textId="77777777" w:rsidR="00E262A5" w:rsidRDefault="00DF5223">
      <w:pPr>
        <w:rPr>
          <w:sz w:val="18"/>
          <w:szCs w:val="18"/>
        </w:rPr>
      </w:pPr>
      <w:r>
        <w:rPr>
          <w:sz w:val="18"/>
          <w:szCs w:val="18"/>
        </w:rPr>
        <w:t xml:space="preserve">Institutul Cultural Român </w:t>
      </w:r>
    </w:p>
    <w:p w14:paraId="391A3412" w14:textId="77777777" w:rsidR="00E262A5" w:rsidRDefault="00DF5223">
      <w:pPr>
        <w:rPr>
          <w:sz w:val="18"/>
          <w:szCs w:val="18"/>
        </w:rPr>
      </w:pPr>
      <w:r>
        <w:rPr>
          <w:sz w:val="18"/>
          <w:szCs w:val="18"/>
        </w:rPr>
        <w:t>Uniunea Arhitecților din România</w:t>
      </w:r>
    </w:p>
    <w:p w14:paraId="3D4C667D" w14:textId="77777777" w:rsidR="00E262A5" w:rsidRDefault="00E262A5">
      <w:pPr>
        <w:rPr>
          <w:sz w:val="18"/>
          <w:szCs w:val="18"/>
        </w:rPr>
      </w:pPr>
    </w:p>
    <w:p w14:paraId="37049BFB" w14:textId="77777777" w:rsidR="00E262A5" w:rsidRDefault="00DF5223">
      <w:pPr>
        <w:rPr>
          <w:b/>
          <w:sz w:val="18"/>
          <w:szCs w:val="18"/>
        </w:rPr>
      </w:pPr>
      <w:r>
        <w:rPr>
          <w:b/>
          <w:sz w:val="18"/>
          <w:szCs w:val="18"/>
        </w:rPr>
        <w:t xml:space="preserve">Producător: </w:t>
      </w:r>
    </w:p>
    <w:p w14:paraId="46E0CC77" w14:textId="77777777" w:rsidR="00E262A5" w:rsidRDefault="00DF5223">
      <w:pPr>
        <w:rPr>
          <w:sz w:val="18"/>
          <w:szCs w:val="18"/>
        </w:rPr>
      </w:pPr>
      <w:r>
        <w:rPr>
          <w:sz w:val="18"/>
          <w:szCs w:val="18"/>
        </w:rPr>
        <w:t>Arrogant Films</w:t>
      </w:r>
    </w:p>
    <w:p w14:paraId="3910DABB" w14:textId="77777777" w:rsidR="00E262A5" w:rsidRDefault="00E262A5">
      <w:pPr>
        <w:rPr>
          <w:sz w:val="18"/>
          <w:szCs w:val="18"/>
        </w:rPr>
      </w:pPr>
    </w:p>
    <w:p w14:paraId="56A4082E" w14:textId="77777777" w:rsidR="00E262A5" w:rsidRDefault="00DF5223">
      <w:pPr>
        <w:rPr>
          <w:b/>
          <w:sz w:val="18"/>
          <w:szCs w:val="18"/>
        </w:rPr>
      </w:pPr>
      <w:r>
        <w:rPr>
          <w:b/>
          <w:sz w:val="18"/>
          <w:szCs w:val="18"/>
        </w:rPr>
        <w:t xml:space="preserve">Co-producători: </w:t>
      </w:r>
    </w:p>
    <w:p w14:paraId="6DDABB27" w14:textId="77777777" w:rsidR="00E262A5" w:rsidRDefault="00DF5223">
      <w:pPr>
        <w:rPr>
          <w:sz w:val="18"/>
          <w:szCs w:val="18"/>
        </w:rPr>
      </w:pPr>
      <w:r>
        <w:rPr>
          <w:sz w:val="18"/>
          <w:szCs w:val="18"/>
        </w:rPr>
        <w:t xml:space="preserve">Galeria Suprainfinit </w:t>
      </w:r>
    </w:p>
    <w:p w14:paraId="7B4ABD54" w14:textId="77777777" w:rsidR="00E262A5" w:rsidRDefault="00DF5223">
      <w:pPr>
        <w:rPr>
          <w:sz w:val="18"/>
          <w:szCs w:val="18"/>
        </w:rPr>
      </w:pPr>
      <w:r>
        <w:rPr>
          <w:sz w:val="18"/>
          <w:szCs w:val="18"/>
        </w:rPr>
        <w:t>Asociația Nodul Creativ</w:t>
      </w:r>
    </w:p>
    <w:p w14:paraId="7D4E2A96" w14:textId="77777777" w:rsidR="00E262A5" w:rsidRDefault="00E262A5">
      <w:pPr>
        <w:rPr>
          <w:sz w:val="18"/>
          <w:szCs w:val="18"/>
        </w:rPr>
      </w:pPr>
    </w:p>
    <w:p w14:paraId="3AC4AC10" w14:textId="77777777" w:rsidR="00E262A5" w:rsidRDefault="00DF5223">
      <w:pPr>
        <w:rPr>
          <w:b/>
          <w:sz w:val="18"/>
          <w:szCs w:val="18"/>
        </w:rPr>
      </w:pPr>
      <w:r>
        <w:rPr>
          <w:b/>
          <w:sz w:val="18"/>
          <w:szCs w:val="18"/>
        </w:rPr>
        <w:t>Producție:</w:t>
      </w:r>
    </w:p>
    <w:p w14:paraId="5B5D2AC6" w14:textId="77777777" w:rsidR="00E262A5" w:rsidRDefault="00DF5223">
      <w:pPr>
        <w:rPr>
          <w:b/>
          <w:sz w:val="18"/>
          <w:szCs w:val="18"/>
        </w:rPr>
      </w:pPr>
      <w:r>
        <w:rPr>
          <w:b/>
          <w:sz w:val="18"/>
          <w:szCs w:val="18"/>
        </w:rPr>
        <w:t xml:space="preserve">Parteneri instituționali: </w:t>
      </w:r>
    </w:p>
    <w:p w14:paraId="203ED7F5" w14:textId="77777777" w:rsidR="00E262A5" w:rsidRDefault="00DF5223">
      <w:pPr>
        <w:rPr>
          <w:sz w:val="18"/>
          <w:szCs w:val="18"/>
        </w:rPr>
      </w:pPr>
      <w:r>
        <w:rPr>
          <w:sz w:val="18"/>
          <w:szCs w:val="18"/>
        </w:rPr>
        <w:t>Drawing Matter</w:t>
      </w:r>
    </w:p>
    <w:p w14:paraId="25EF864E" w14:textId="77777777" w:rsidR="00E262A5" w:rsidRDefault="00DF5223">
      <w:pPr>
        <w:rPr>
          <w:sz w:val="18"/>
          <w:szCs w:val="18"/>
        </w:rPr>
      </w:pPr>
      <w:r>
        <w:rPr>
          <w:sz w:val="18"/>
          <w:szCs w:val="18"/>
        </w:rPr>
        <w:t>The Tchoban Foundation / Museum for Architectural Drawing</w:t>
      </w:r>
    </w:p>
    <w:p w14:paraId="71002FEE" w14:textId="77777777" w:rsidR="00E262A5" w:rsidRDefault="00DF5223">
      <w:pPr>
        <w:rPr>
          <w:sz w:val="18"/>
          <w:szCs w:val="18"/>
        </w:rPr>
      </w:pPr>
      <w:r>
        <w:rPr>
          <w:sz w:val="18"/>
          <w:szCs w:val="18"/>
        </w:rPr>
        <w:t xml:space="preserve">Fundația Art Encounters </w:t>
      </w:r>
    </w:p>
    <w:p w14:paraId="2F3BB63F" w14:textId="77777777" w:rsidR="00E262A5" w:rsidRDefault="00DF5223">
      <w:pPr>
        <w:rPr>
          <w:sz w:val="18"/>
          <w:szCs w:val="18"/>
        </w:rPr>
      </w:pPr>
      <w:r>
        <w:rPr>
          <w:sz w:val="18"/>
          <w:szCs w:val="18"/>
        </w:rPr>
        <w:t xml:space="preserve">Fundația MARe / Muzeul de Artă Recentă </w:t>
      </w:r>
    </w:p>
    <w:p w14:paraId="20CB613C" w14:textId="77777777" w:rsidR="00E262A5" w:rsidRDefault="00DF5223">
      <w:pPr>
        <w:rPr>
          <w:sz w:val="18"/>
          <w:szCs w:val="18"/>
        </w:rPr>
      </w:pPr>
      <w:r>
        <w:rPr>
          <w:sz w:val="18"/>
          <w:szCs w:val="18"/>
        </w:rPr>
        <w:t>Muzeul Național al Țăranului Român</w:t>
      </w:r>
    </w:p>
    <w:p w14:paraId="355E062D" w14:textId="77777777" w:rsidR="00E262A5" w:rsidRDefault="00DF5223">
      <w:pPr>
        <w:rPr>
          <w:sz w:val="18"/>
          <w:szCs w:val="18"/>
        </w:rPr>
      </w:pPr>
      <w:r>
        <w:rPr>
          <w:sz w:val="18"/>
          <w:szCs w:val="18"/>
        </w:rPr>
        <w:t>Muzeul Național al Hărților și Cărții Vechi</w:t>
      </w:r>
    </w:p>
    <w:p w14:paraId="731FBBD8" w14:textId="77777777" w:rsidR="00E262A5" w:rsidRDefault="00DF5223">
      <w:pPr>
        <w:rPr>
          <w:sz w:val="18"/>
          <w:szCs w:val="18"/>
        </w:rPr>
      </w:pPr>
      <w:r>
        <w:rPr>
          <w:sz w:val="18"/>
          <w:szCs w:val="18"/>
        </w:rPr>
        <w:t>Goethe-Institut România</w:t>
      </w:r>
    </w:p>
    <w:p w14:paraId="237642F5" w14:textId="77777777" w:rsidR="00E262A5" w:rsidRDefault="00DF5223">
      <w:pPr>
        <w:rPr>
          <w:sz w:val="18"/>
          <w:szCs w:val="18"/>
        </w:rPr>
      </w:pPr>
      <w:r>
        <w:rPr>
          <w:sz w:val="18"/>
          <w:szCs w:val="18"/>
        </w:rPr>
        <w:t xml:space="preserve">British Council </w:t>
      </w:r>
    </w:p>
    <w:p w14:paraId="0AF383A7" w14:textId="77777777" w:rsidR="00E262A5" w:rsidRDefault="00DF5223">
      <w:pPr>
        <w:rPr>
          <w:sz w:val="18"/>
          <w:szCs w:val="18"/>
        </w:rPr>
      </w:pPr>
      <w:r>
        <w:rPr>
          <w:sz w:val="18"/>
          <w:szCs w:val="18"/>
        </w:rPr>
        <w:t>Scânteia +</w:t>
      </w:r>
    </w:p>
    <w:p w14:paraId="3B0E5E8E" w14:textId="77777777" w:rsidR="00E262A5" w:rsidRDefault="00DF5223">
      <w:pPr>
        <w:rPr>
          <w:sz w:val="18"/>
          <w:szCs w:val="18"/>
        </w:rPr>
      </w:pPr>
      <w:r>
        <w:rPr>
          <w:sz w:val="18"/>
          <w:szCs w:val="18"/>
        </w:rPr>
        <w:t xml:space="preserve">Vellant </w:t>
      </w:r>
    </w:p>
    <w:p w14:paraId="314E52F7" w14:textId="77777777" w:rsidR="00E262A5" w:rsidRDefault="00DF5223">
      <w:pPr>
        <w:rPr>
          <w:sz w:val="18"/>
          <w:szCs w:val="18"/>
        </w:rPr>
        <w:sectPr w:rsidR="00E262A5" w:rsidSect="00422C4E">
          <w:type w:val="continuous"/>
          <w:pgSz w:w="11909" w:h="16834"/>
          <w:pgMar w:top="2322" w:right="1380" w:bottom="1440" w:left="1440" w:header="720" w:footer="720" w:gutter="0"/>
          <w:cols w:num="2" w:space="720" w:equalWidth="0">
            <w:col w:w="4182" w:space="720"/>
            <w:col w:w="4182" w:space="0"/>
          </w:cols>
        </w:sectPr>
      </w:pPr>
      <w:r>
        <w:rPr>
          <w:sz w:val="18"/>
          <w:szCs w:val="18"/>
        </w:rPr>
        <w:t>Ami Amalia</w:t>
      </w:r>
    </w:p>
    <w:p w14:paraId="33C5BACD" w14:textId="77777777" w:rsidR="00CB59C8" w:rsidRDefault="00CB59C8" w:rsidP="00CB59C8">
      <w:pPr>
        <w:rPr>
          <w:sz w:val="18"/>
          <w:szCs w:val="18"/>
        </w:rPr>
      </w:pPr>
      <w:r>
        <w:rPr>
          <w:sz w:val="18"/>
          <w:szCs w:val="18"/>
        </w:rPr>
        <w:t>Kaustik</w:t>
      </w:r>
    </w:p>
    <w:p w14:paraId="18B4CD9F" w14:textId="77777777" w:rsidR="00E262A5" w:rsidRDefault="00E262A5">
      <w:pPr>
        <w:rPr>
          <w:b/>
          <w:sz w:val="18"/>
          <w:szCs w:val="18"/>
        </w:rPr>
        <w:sectPr w:rsidR="00E262A5">
          <w:type w:val="continuous"/>
          <w:pgSz w:w="11909" w:h="16834"/>
          <w:pgMar w:top="1440" w:right="1380" w:bottom="1440" w:left="1440" w:header="720" w:footer="720" w:gutter="0"/>
          <w:cols w:space="720"/>
        </w:sectPr>
      </w:pPr>
    </w:p>
    <w:p w14:paraId="702D7103" w14:textId="3FB6EDE6" w:rsidR="00CB59C8" w:rsidRDefault="00CB59C8">
      <w:pPr>
        <w:rPr>
          <w:b/>
          <w:sz w:val="18"/>
          <w:szCs w:val="18"/>
        </w:rPr>
      </w:pPr>
    </w:p>
    <w:p w14:paraId="6CC80A18" w14:textId="51381E73" w:rsidR="00422C4E" w:rsidRDefault="00422C4E">
      <w:pPr>
        <w:rPr>
          <w:b/>
          <w:sz w:val="18"/>
          <w:szCs w:val="18"/>
        </w:rPr>
      </w:pPr>
    </w:p>
    <w:p w14:paraId="70F4F29F" w14:textId="77777777" w:rsidR="00422C4E" w:rsidRDefault="00422C4E">
      <w:pPr>
        <w:rPr>
          <w:b/>
          <w:sz w:val="18"/>
          <w:szCs w:val="18"/>
        </w:rPr>
      </w:pPr>
    </w:p>
    <w:p w14:paraId="38DB0883" w14:textId="0D5AD1C0" w:rsidR="00E262A5" w:rsidRDefault="00DF5223">
      <w:pPr>
        <w:rPr>
          <w:b/>
          <w:sz w:val="18"/>
          <w:szCs w:val="18"/>
        </w:rPr>
      </w:pPr>
      <w:r>
        <w:rPr>
          <w:b/>
          <w:sz w:val="18"/>
          <w:szCs w:val="18"/>
        </w:rPr>
        <w:t xml:space="preserve">Parteneri educaționali: </w:t>
      </w:r>
    </w:p>
    <w:p w14:paraId="45E26095" w14:textId="77777777" w:rsidR="00E262A5" w:rsidRDefault="00DF5223">
      <w:pPr>
        <w:rPr>
          <w:sz w:val="18"/>
          <w:szCs w:val="18"/>
        </w:rPr>
      </w:pPr>
      <w:r>
        <w:rPr>
          <w:sz w:val="18"/>
          <w:szCs w:val="18"/>
        </w:rPr>
        <w:t>Universitatea Politehnica Timișoara - Facultatea de Arhitectură și Urbanism</w:t>
      </w:r>
    </w:p>
    <w:p w14:paraId="18A0098D" w14:textId="77777777" w:rsidR="00E262A5" w:rsidRDefault="00DF5223">
      <w:pPr>
        <w:rPr>
          <w:sz w:val="18"/>
          <w:szCs w:val="18"/>
        </w:rPr>
      </w:pPr>
      <w:r>
        <w:rPr>
          <w:sz w:val="18"/>
          <w:szCs w:val="18"/>
        </w:rPr>
        <w:t>Universitatea de Arhitectură și Urbanism „Ion Mincu" București</w:t>
      </w:r>
    </w:p>
    <w:p w14:paraId="182176C0" w14:textId="56D56396" w:rsidR="00CB59C8" w:rsidRDefault="00DF5223">
      <w:pPr>
        <w:rPr>
          <w:sz w:val="18"/>
          <w:szCs w:val="18"/>
        </w:rPr>
      </w:pPr>
      <w:r>
        <w:rPr>
          <w:sz w:val="18"/>
          <w:szCs w:val="18"/>
        </w:rPr>
        <w:t xml:space="preserve">Asociația De-a Arhitectura </w:t>
      </w:r>
    </w:p>
    <w:p w14:paraId="242C3731" w14:textId="77777777" w:rsidR="00CB59C8" w:rsidRDefault="00CB59C8">
      <w:pPr>
        <w:rPr>
          <w:sz w:val="18"/>
          <w:szCs w:val="18"/>
        </w:rPr>
      </w:pPr>
    </w:p>
    <w:p w14:paraId="3D08C57B" w14:textId="77777777" w:rsidR="00E262A5" w:rsidRDefault="00DF5223">
      <w:pPr>
        <w:rPr>
          <w:b/>
          <w:sz w:val="18"/>
          <w:szCs w:val="18"/>
        </w:rPr>
      </w:pPr>
      <w:r>
        <w:rPr>
          <w:b/>
          <w:sz w:val="18"/>
          <w:szCs w:val="18"/>
        </w:rPr>
        <w:t xml:space="preserve">Parteneri privați: </w:t>
      </w:r>
    </w:p>
    <w:p w14:paraId="148CDB66" w14:textId="4F4E2838" w:rsidR="00E262A5" w:rsidRDefault="00DF5223">
      <w:pPr>
        <w:rPr>
          <w:sz w:val="18"/>
          <w:szCs w:val="18"/>
        </w:rPr>
      </w:pPr>
      <w:r>
        <w:rPr>
          <w:sz w:val="18"/>
          <w:szCs w:val="18"/>
        </w:rPr>
        <w:t>Linde Gaz România</w:t>
      </w:r>
    </w:p>
    <w:p w14:paraId="7AC9981D" w14:textId="77777777" w:rsidR="00E262A5" w:rsidRDefault="00DF5223">
      <w:pPr>
        <w:spacing w:line="240" w:lineRule="auto"/>
        <w:rPr>
          <w:sz w:val="18"/>
          <w:szCs w:val="18"/>
        </w:rPr>
      </w:pPr>
      <w:r>
        <w:rPr>
          <w:sz w:val="18"/>
          <w:szCs w:val="18"/>
        </w:rPr>
        <w:t>UniCredit Bank</w:t>
      </w:r>
    </w:p>
    <w:p w14:paraId="22DD9C5A" w14:textId="77777777" w:rsidR="00E262A5" w:rsidRDefault="00DF5223">
      <w:pPr>
        <w:rPr>
          <w:sz w:val="18"/>
          <w:szCs w:val="18"/>
        </w:rPr>
      </w:pPr>
      <w:r>
        <w:rPr>
          <w:sz w:val="18"/>
          <w:szCs w:val="18"/>
        </w:rPr>
        <w:t>Voxility</w:t>
      </w:r>
    </w:p>
    <w:p w14:paraId="2EE935BD" w14:textId="77777777" w:rsidR="00CB59C8" w:rsidRDefault="00DF5223">
      <w:pPr>
        <w:rPr>
          <w:sz w:val="18"/>
          <w:szCs w:val="18"/>
        </w:rPr>
      </w:pPr>
      <w:r>
        <w:rPr>
          <w:sz w:val="18"/>
          <w:szCs w:val="18"/>
        </w:rPr>
        <w:t>Procema</w:t>
      </w:r>
    </w:p>
    <w:p w14:paraId="3C519710" w14:textId="555EBF99" w:rsidR="00E262A5" w:rsidRDefault="00DF5223">
      <w:pPr>
        <w:rPr>
          <w:sz w:val="18"/>
          <w:szCs w:val="18"/>
        </w:rPr>
      </w:pPr>
      <w:r>
        <w:rPr>
          <w:sz w:val="18"/>
          <w:szCs w:val="18"/>
        </w:rPr>
        <w:t>KPMG Romania</w:t>
      </w:r>
    </w:p>
    <w:p w14:paraId="211D1A81" w14:textId="77777777" w:rsidR="00E262A5" w:rsidRDefault="00DF5223">
      <w:pPr>
        <w:rPr>
          <w:sz w:val="18"/>
          <w:szCs w:val="18"/>
        </w:rPr>
      </w:pPr>
      <w:r>
        <w:rPr>
          <w:sz w:val="18"/>
          <w:szCs w:val="18"/>
        </w:rPr>
        <w:t>Greentek Lighting</w:t>
      </w:r>
    </w:p>
    <w:p w14:paraId="748E8A98" w14:textId="77777777" w:rsidR="00E262A5" w:rsidRDefault="00E262A5">
      <w:pPr>
        <w:rPr>
          <w:sz w:val="18"/>
          <w:szCs w:val="18"/>
        </w:rPr>
      </w:pPr>
    </w:p>
    <w:p w14:paraId="6EF55E45" w14:textId="77777777" w:rsidR="00422C4E" w:rsidRDefault="00422C4E">
      <w:pPr>
        <w:rPr>
          <w:b/>
          <w:sz w:val="18"/>
          <w:szCs w:val="18"/>
        </w:rPr>
      </w:pPr>
    </w:p>
    <w:p w14:paraId="4FAB3BD8" w14:textId="77777777" w:rsidR="00422C4E" w:rsidRDefault="00422C4E">
      <w:pPr>
        <w:rPr>
          <w:b/>
          <w:sz w:val="18"/>
          <w:szCs w:val="18"/>
        </w:rPr>
      </w:pPr>
    </w:p>
    <w:p w14:paraId="316B4A1E" w14:textId="77777777" w:rsidR="00422C4E" w:rsidRDefault="00422C4E">
      <w:pPr>
        <w:rPr>
          <w:b/>
          <w:sz w:val="18"/>
          <w:szCs w:val="18"/>
        </w:rPr>
      </w:pPr>
    </w:p>
    <w:p w14:paraId="537D3F21" w14:textId="02EFBEC6" w:rsidR="00E262A5" w:rsidRDefault="00DF5223">
      <w:pPr>
        <w:rPr>
          <w:b/>
          <w:sz w:val="18"/>
          <w:szCs w:val="18"/>
        </w:rPr>
      </w:pPr>
      <w:r>
        <w:rPr>
          <w:b/>
          <w:sz w:val="18"/>
          <w:szCs w:val="18"/>
        </w:rPr>
        <w:t>Partener ospitalitate:</w:t>
      </w:r>
    </w:p>
    <w:p w14:paraId="06EBC5D6" w14:textId="77777777" w:rsidR="00E262A5" w:rsidRDefault="00DF5223">
      <w:pPr>
        <w:rPr>
          <w:sz w:val="18"/>
          <w:szCs w:val="18"/>
        </w:rPr>
      </w:pPr>
      <w:r>
        <w:rPr>
          <w:sz w:val="18"/>
          <w:szCs w:val="18"/>
        </w:rPr>
        <w:t>Beans &amp; Dots</w:t>
      </w:r>
    </w:p>
    <w:p w14:paraId="410138A0" w14:textId="77777777" w:rsidR="00CB59C8" w:rsidRDefault="00CB59C8" w:rsidP="00CB59C8">
      <w:pPr>
        <w:rPr>
          <w:b/>
          <w:sz w:val="18"/>
          <w:szCs w:val="18"/>
        </w:rPr>
      </w:pPr>
    </w:p>
    <w:p w14:paraId="1959B47B" w14:textId="4824A600" w:rsidR="00CB59C8" w:rsidRDefault="00CB59C8" w:rsidP="00CB59C8">
      <w:pPr>
        <w:rPr>
          <w:b/>
          <w:sz w:val="18"/>
          <w:szCs w:val="18"/>
        </w:rPr>
      </w:pPr>
      <w:r>
        <w:rPr>
          <w:b/>
          <w:sz w:val="18"/>
          <w:szCs w:val="18"/>
        </w:rPr>
        <w:t xml:space="preserve">Parteneri media: </w:t>
      </w:r>
    </w:p>
    <w:p w14:paraId="216D9902" w14:textId="77777777" w:rsidR="00CB59C8" w:rsidRDefault="00CB59C8" w:rsidP="00CB59C8">
      <w:pPr>
        <w:rPr>
          <w:sz w:val="18"/>
          <w:szCs w:val="18"/>
        </w:rPr>
      </w:pPr>
      <w:r>
        <w:rPr>
          <w:sz w:val="18"/>
          <w:szCs w:val="18"/>
        </w:rPr>
        <w:t>Zeppelin</w:t>
      </w:r>
    </w:p>
    <w:p w14:paraId="0493940B" w14:textId="77777777" w:rsidR="00CB59C8" w:rsidRDefault="00CB59C8" w:rsidP="00CB59C8">
      <w:pPr>
        <w:rPr>
          <w:sz w:val="18"/>
          <w:szCs w:val="18"/>
        </w:rPr>
      </w:pPr>
      <w:r>
        <w:rPr>
          <w:sz w:val="18"/>
          <w:szCs w:val="18"/>
        </w:rPr>
        <w:t>Igloo</w:t>
      </w:r>
    </w:p>
    <w:p w14:paraId="2CA32F92" w14:textId="77777777" w:rsidR="00CB59C8" w:rsidRDefault="00CB59C8" w:rsidP="00CB59C8">
      <w:pPr>
        <w:rPr>
          <w:sz w:val="18"/>
          <w:szCs w:val="18"/>
        </w:rPr>
      </w:pPr>
      <w:r>
        <w:rPr>
          <w:sz w:val="18"/>
          <w:szCs w:val="18"/>
        </w:rPr>
        <w:t>Kajet Journal</w:t>
      </w:r>
    </w:p>
    <w:p w14:paraId="0B64AD66" w14:textId="77777777" w:rsidR="00CB59C8" w:rsidRDefault="00CB59C8" w:rsidP="00CB59C8">
      <w:pPr>
        <w:rPr>
          <w:sz w:val="18"/>
          <w:szCs w:val="18"/>
        </w:rPr>
      </w:pPr>
      <w:r>
        <w:rPr>
          <w:sz w:val="18"/>
          <w:szCs w:val="18"/>
        </w:rPr>
        <w:t>Mindcraft Stories</w:t>
      </w:r>
    </w:p>
    <w:p w14:paraId="305CEA79" w14:textId="77777777" w:rsidR="00CB59C8" w:rsidRDefault="00CB59C8" w:rsidP="00CB59C8">
      <w:pPr>
        <w:rPr>
          <w:sz w:val="18"/>
          <w:szCs w:val="18"/>
        </w:rPr>
      </w:pPr>
      <w:r>
        <w:rPr>
          <w:sz w:val="18"/>
          <w:szCs w:val="18"/>
        </w:rPr>
        <w:t>Dilema</w:t>
      </w:r>
    </w:p>
    <w:p w14:paraId="779BFFEE" w14:textId="77777777" w:rsidR="00CB59C8" w:rsidRDefault="00CB59C8" w:rsidP="00CB59C8">
      <w:pPr>
        <w:rPr>
          <w:sz w:val="18"/>
          <w:szCs w:val="18"/>
        </w:rPr>
      </w:pPr>
      <w:r>
        <w:rPr>
          <w:sz w:val="18"/>
          <w:szCs w:val="18"/>
        </w:rPr>
        <w:t>Matca</w:t>
      </w:r>
    </w:p>
    <w:p w14:paraId="03D21F34" w14:textId="77777777" w:rsidR="00E262A5" w:rsidRDefault="00E262A5">
      <w:pPr>
        <w:rPr>
          <w:sz w:val="18"/>
          <w:szCs w:val="18"/>
        </w:rPr>
      </w:pPr>
    </w:p>
    <w:p w14:paraId="150A1253" w14:textId="77777777" w:rsidR="00422C4E" w:rsidRDefault="00422C4E">
      <w:pPr>
        <w:rPr>
          <w:sz w:val="18"/>
          <w:szCs w:val="18"/>
        </w:rPr>
      </w:pPr>
    </w:p>
    <w:p w14:paraId="13A488E4" w14:textId="77777777" w:rsidR="00422C4E" w:rsidRDefault="00422C4E">
      <w:pPr>
        <w:rPr>
          <w:sz w:val="18"/>
          <w:szCs w:val="18"/>
        </w:rPr>
      </w:pPr>
    </w:p>
    <w:p w14:paraId="4FA96D7A" w14:textId="77777777" w:rsidR="00422C4E" w:rsidRDefault="00422C4E">
      <w:pPr>
        <w:rPr>
          <w:sz w:val="18"/>
          <w:szCs w:val="18"/>
        </w:rPr>
      </w:pPr>
    </w:p>
    <w:p w14:paraId="179051C3" w14:textId="4ABBB5E6" w:rsidR="00422C4E" w:rsidRDefault="00422C4E">
      <w:pPr>
        <w:rPr>
          <w:sz w:val="18"/>
          <w:szCs w:val="18"/>
        </w:rPr>
        <w:sectPr w:rsidR="00422C4E">
          <w:type w:val="continuous"/>
          <w:pgSz w:w="11909" w:h="16834"/>
          <w:pgMar w:top="1440" w:right="1380" w:bottom="1440" w:left="1440" w:header="720" w:footer="720" w:gutter="0"/>
          <w:cols w:num="2" w:space="720" w:equalWidth="0">
            <w:col w:w="4182" w:space="720"/>
            <w:col w:w="4182" w:space="0"/>
          </w:cols>
        </w:sectPr>
      </w:pPr>
    </w:p>
    <w:p w14:paraId="31779C0F" w14:textId="77777777" w:rsidR="00E262A5" w:rsidRDefault="00E262A5">
      <w:pPr>
        <w:rPr>
          <w:sz w:val="18"/>
          <w:szCs w:val="18"/>
        </w:rPr>
      </w:pPr>
    </w:p>
    <w:p w14:paraId="64CC12F7" w14:textId="77777777" w:rsidR="00CB59C8" w:rsidRDefault="00CB59C8">
      <w:pPr>
        <w:rPr>
          <w:sz w:val="18"/>
          <w:szCs w:val="18"/>
        </w:rPr>
      </w:pPr>
    </w:p>
    <w:p w14:paraId="2CA011B3" w14:textId="77777777" w:rsidR="00EC5494" w:rsidRPr="00EC5494" w:rsidRDefault="00EC5494" w:rsidP="00EC5494">
      <w:pPr>
        <w:rPr>
          <w:sz w:val="18"/>
          <w:szCs w:val="18"/>
          <w:lang w:val="en-US"/>
        </w:rPr>
      </w:pPr>
      <w:r w:rsidRPr="00EC5494">
        <w:rPr>
          <w:sz w:val="18"/>
          <w:szCs w:val="18"/>
          <w:lang w:val="en-US"/>
        </w:rPr>
        <w:t xml:space="preserve">Detalii pentru presă despre proiectul </w:t>
      </w:r>
      <w:r w:rsidRPr="00EC5494">
        <w:rPr>
          <w:i/>
          <w:iCs/>
          <w:sz w:val="18"/>
          <w:szCs w:val="18"/>
          <w:lang w:val="en-US"/>
        </w:rPr>
        <w:t xml:space="preserve">Human Scale </w:t>
      </w:r>
      <w:r w:rsidRPr="00EC5494">
        <w:rPr>
          <w:sz w:val="18"/>
          <w:szCs w:val="18"/>
          <w:lang w:val="en-US"/>
        </w:rPr>
        <w:t>(imagini, colofon, biografii, concept curatorial, prezentarea de astăzi) sunt disponibile aici: </w:t>
      </w:r>
      <w:hyperlink r:id="rId7" w:history="1">
        <w:r w:rsidRPr="00EC5494">
          <w:rPr>
            <w:rStyle w:val="Hyperlink"/>
            <w:sz w:val="18"/>
            <w:szCs w:val="18"/>
            <w:lang w:val="en-US"/>
          </w:rPr>
          <w:t>Human Scale Press Kit (17 februari</w:t>
        </w:r>
        <w:r w:rsidRPr="00EC5494">
          <w:rPr>
            <w:rStyle w:val="Hyperlink"/>
            <w:sz w:val="18"/>
            <w:szCs w:val="18"/>
            <w:lang w:val="en-US"/>
          </w:rPr>
          <w:t>e</w:t>
        </w:r>
        <w:r w:rsidRPr="00EC5494">
          <w:rPr>
            <w:rStyle w:val="Hyperlink"/>
            <w:sz w:val="18"/>
            <w:szCs w:val="18"/>
            <w:lang w:val="en-US"/>
          </w:rPr>
          <w:t xml:space="preserve"> 2025) - Google Drive</w:t>
        </w:r>
      </w:hyperlink>
      <w:r w:rsidRPr="00EC5494">
        <w:rPr>
          <w:sz w:val="18"/>
          <w:szCs w:val="18"/>
          <w:lang w:val="en-US"/>
        </w:rPr>
        <w:t>.  </w:t>
      </w:r>
    </w:p>
    <w:p w14:paraId="2060E8E4" w14:textId="77777777" w:rsidR="00CB59C8" w:rsidRDefault="00CB59C8">
      <w:pPr>
        <w:rPr>
          <w:sz w:val="18"/>
          <w:szCs w:val="18"/>
        </w:rPr>
      </w:pPr>
    </w:p>
    <w:p w14:paraId="036DC21A" w14:textId="77777777" w:rsidR="00CB59C8" w:rsidRDefault="00CB59C8">
      <w:pPr>
        <w:rPr>
          <w:sz w:val="18"/>
          <w:szCs w:val="18"/>
        </w:rPr>
      </w:pPr>
    </w:p>
    <w:p w14:paraId="54AABB8C" w14:textId="77777777" w:rsidR="00E262A5" w:rsidRDefault="00DF5223">
      <w:pPr>
        <w:jc w:val="center"/>
        <w:rPr>
          <w:b/>
          <w:sz w:val="18"/>
          <w:szCs w:val="18"/>
        </w:rPr>
      </w:pPr>
      <w:r>
        <w:rPr>
          <w:b/>
          <w:sz w:val="18"/>
          <w:szCs w:val="18"/>
        </w:rPr>
        <w:t xml:space="preserve">Link-uri </w:t>
      </w:r>
    </w:p>
    <w:p w14:paraId="34E9CA5E" w14:textId="77777777" w:rsidR="00E262A5" w:rsidRDefault="00DF5223">
      <w:pPr>
        <w:jc w:val="center"/>
        <w:rPr>
          <w:sz w:val="18"/>
          <w:szCs w:val="18"/>
        </w:rPr>
      </w:pPr>
      <w:r>
        <w:rPr>
          <w:sz w:val="18"/>
          <w:szCs w:val="18"/>
        </w:rPr>
        <w:t>www.humanscale2025.ro</w:t>
      </w:r>
    </w:p>
    <w:p w14:paraId="08055031" w14:textId="77777777" w:rsidR="00E262A5" w:rsidRDefault="00DF5223">
      <w:pPr>
        <w:jc w:val="center"/>
        <w:rPr>
          <w:sz w:val="18"/>
          <w:szCs w:val="18"/>
        </w:rPr>
      </w:pPr>
      <w:r>
        <w:rPr>
          <w:sz w:val="18"/>
          <w:szCs w:val="18"/>
        </w:rPr>
        <w:t>contact@humanscale2025.ro</w:t>
      </w:r>
    </w:p>
    <w:p w14:paraId="4EE22BAF" w14:textId="77777777" w:rsidR="00E262A5" w:rsidRDefault="00DF5223">
      <w:pPr>
        <w:jc w:val="center"/>
        <w:rPr>
          <w:sz w:val="18"/>
          <w:szCs w:val="18"/>
        </w:rPr>
      </w:pPr>
      <w:r>
        <w:rPr>
          <w:sz w:val="18"/>
          <w:szCs w:val="18"/>
        </w:rPr>
        <w:t>instagram.com/humanscale2025</w:t>
      </w:r>
    </w:p>
    <w:p w14:paraId="55B2C824" w14:textId="77777777" w:rsidR="00E262A5" w:rsidRDefault="00DF5223">
      <w:pPr>
        <w:jc w:val="center"/>
        <w:rPr>
          <w:sz w:val="18"/>
          <w:szCs w:val="18"/>
        </w:rPr>
      </w:pPr>
      <w:r>
        <w:rPr>
          <w:sz w:val="18"/>
          <w:szCs w:val="18"/>
        </w:rPr>
        <w:t>facebook.com/humanscale2025</w:t>
      </w:r>
    </w:p>
    <w:p w14:paraId="46B4F8AD" w14:textId="77777777" w:rsidR="00E262A5" w:rsidRDefault="00DF5223">
      <w:pPr>
        <w:jc w:val="center"/>
        <w:rPr>
          <w:sz w:val="20"/>
          <w:szCs w:val="20"/>
        </w:rPr>
      </w:pPr>
      <w:r>
        <w:rPr>
          <w:sz w:val="18"/>
          <w:szCs w:val="18"/>
        </w:rPr>
        <w:t>tiktok.com/@humanscale</w:t>
      </w:r>
    </w:p>
    <w:sectPr w:rsidR="00E262A5">
      <w:type w:val="continuous"/>
      <w:pgSz w:w="11909" w:h="16834"/>
      <w:pgMar w:top="1440" w:right="13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8FAF3" w14:textId="77777777" w:rsidR="00DF5223" w:rsidRDefault="00DF5223">
      <w:pPr>
        <w:spacing w:line="240" w:lineRule="auto"/>
      </w:pPr>
      <w:r>
        <w:separator/>
      </w:r>
    </w:p>
  </w:endnote>
  <w:endnote w:type="continuationSeparator" w:id="0">
    <w:p w14:paraId="78C63ACC" w14:textId="77777777" w:rsidR="00DF5223" w:rsidRDefault="00DF5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E98EE" w14:textId="77777777" w:rsidR="00DF5223" w:rsidRDefault="00DF5223">
      <w:pPr>
        <w:spacing w:line="240" w:lineRule="auto"/>
      </w:pPr>
      <w:r>
        <w:separator/>
      </w:r>
    </w:p>
  </w:footnote>
  <w:footnote w:type="continuationSeparator" w:id="0">
    <w:p w14:paraId="6A67359C" w14:textId="77777777" w:rsidR="00DF5223" w:rsidRDefault="00DF52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878AD" w14:textId="77777777" w:rsidR="00E262A5" w:rsidRDefault="00DF5223">
    <w:pPr>
      <w:pStyle w:val="Heading2"/>
    </w:pPr>
    <w:bookmarkStart w:id="0" w:name="_yexjnfcucyty" w:colFirst="0" w:colLast="0"/>
    <w:bookmarkEnd w:id="0"/>
    <w:r>
      <w:rPr>
        <w:noProof/>
      </w:rPr>
      <w:drawing>
        <wp:inline distT="114300" distB="114300" distL="114300" distR="114300" wp14:anchorId="3FFC556B" wp14:editId="4E65BB18">
          <wp:extent cx="5731200" cy="406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4064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A5"/>
    <w:rsid w:val="00004D03"/>
    <w:rsid w:val="00221270"/>
    <w:rsid w:val="00422C4E"/>
    <w:rsid w:val="00CB59C8"/>
    <w:rsid w:val="00D14B7E"/>
    <w:rsid w:val="00DF5223"/>
    <w:rsid w:val="00E06729"/>
    <w:rsid w:val="00E262A5"/>
    <w:rsid w:val="00EC5494"/>
    <w:rsid w:val="00F3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0359"/>
  <w15:docId w15:val="{B5B82DCC-0824-40FA-823E-E94CF146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C5494"/>
    <w:rPr>
      <w:color w:val="0000FF" w:themeColor="hyperlink"/>
      <w:u w:val="single"/>
    </w:rPr>
  </w:style>
  <w:style w:type="character" w:styleId="UnresolvedMention">
    <w:name w:val="Unresolved Mention"/>
    <w:basedOn w:val="DefaultParagraphFont"/>
    <w:uiPriority w:val="99"/>
    <w:semiHidden/>
    <w:unhideWhenUsed/>
    <w:rsid w:val="00EC5494"/>
    <w:rPr>
      <w:color w:val="605E5C"/>
      <w:shd w:val="clear" w:color="auto" w:fill="E1DFDD"/>
    </w:rPr>
  </w:style>
  <w:style w:type="character" w:styleId="FollowedHyperlink">
    <w:name w:val="FollowedHyperlink"/>
    <w:basedOn w:val="DefaultParagraphFont"/>
    <w:uiPriority w:val="99"/>
    <w:semiHidden/>
    <w:unhideWhenUsed/>
    <w:rsid w:val="00EC54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74421">
      <w:bodyDiv w:val="1"/>
      <w:marLeft w:val="0"/>
      <w:marRight w:val="0"/>
      <w:marTop w:val="0"/>
      <w:marBottom w:val="0"/>
      <w:divBdr>
        <w:top w:val="none" w:sz="0" w:space="0" w:color="auto"/>
        <w:left w:val="none" w:sz="0" w:space="0" w:color="auto"/>
        <w:bottom w:val="none" w:sz="0" w:space="0" w:color="auto"/>
        <w:right w:val="none" w:sz="0" w:space="0" w:color="auto"/>
      </w:divBdr>
    </w:div>
    <w:div w:id="1724669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ve.google.com/drive/folders/1DVvHitrkzS59PDAtW5xxbRC_aNB0YMo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1500</Words>
  <Characters>8556</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2025-02-17T15:38:00Z</dcterms:created>
  <dcterms:modified xsi:type="dcterms:W3CDTF">2025-02-17T15:55:00Z</dcterms:modified>
</cp:coreProperties>
</file>